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20" w:type="dxa"/>
        <w:tblBorders>
          <w:bottom w:val="single" w:sz="4" w:space="0" w:color="auto"/>
        </w:tblBorders>
        <w:tblLayout w:type="fixed"/>
        <w:tblLook w:val="01E0" w:firstRow="1" w:lastRow="1" w:firstColumn="1" w:lastColumn="1" w:noHBand="0" w:noVBand="0"/>
      </w:tblPr>
      <w:tblGrid>
        <w:gridCol w:w="1530"/>
        <w:gridCol w:w="8190"/>
      </w:tblGrid>
      <w:tr w:rsidR="00AE34E1" w:rsidRPr="00AE34E1" w14:paraId="2E20788E" w14:textId="77777777" w:rsidTr="00261303">
        <w:trPr>
          <w:trHeight w:val="1070"/>
        </w:trPr>
        <w:tc>
          <w:tcPr>
            <w:tcW w:w="1530" w:type="dxa"/>
          </w:tcPr>
          <w:p w14:paraId="43C1D206" w14:textId="5BEE98EE" w:rsidR="004E1AE3" w:rsidRPr="00AE34E1" w:rsidRDefault="003A0B8A" w:rsidP="00B96FFB">
            <w:pPr>
              <w:ind w:left="-108"/>
              <w:rPr>
                <w:sz w:val="20"/>
                <w:szCs w:val="20"/>
              </w:rPr>
            </w:pPr>
            <w:r>
              <w:rPr>
                <w:noProof/>
                <w:sz w:val="20"/>
                <w:szCs w:val="20"/>
              </w:rPr>
              <w:drawing>
                <wp:inline distT="0" distB="0" distL="0" distR="0" wp14:anchorId="73BC989C" wp14:editId="0974ABC7">
                  <wp:extent cx="914400" cy="914400"/>
                  <wp:effectExtent l="0" t="0" r="0" b="0"/>
                  <wp:docPr id="1" name="Picture 1" descr="PVJ-Monogra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J-Monogram-S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190" w:type="dxa"/>
          </w:tcPr>
          <w:p w14:paraId="7DA3096A" w14:textId="77777777" w:rsidR="004E1AE3" w:rsidRPr="00AE34E1" w:rsidRDefault="004E1AE3" w:rsidP="00B96FFB">
            <w:pPr>
              <w:jc w:val="center"/>
              <w:rPr>
                <w:sz w:val="8"/>
                <w:szCs w:val="32"/>
              </w:rPr>
            </w:pPr>
          </w:p>
          <w:p w14:paraId="72AD3485" w14:textId="022CFE14" w:rsidR="004E1AE3" w:rsidRPr="00AE34E1" w:rsidRDefault="004E1AE3" w:rsidP="00B96FFB">
            <w:pPr>
              <w:jc w:val="center"/>
            </w:pPr>
            <w:r w:rsidRPr="00AE34E1">
              <w:rPr>
                <w:rFonts w:ascii="Esenin script One" w:hAnsi="Esenin script One"/>
                <w:sz w:val="72"/>
                <w:szCs w:val="72"/>
              </w:rPr>
              <w:t>Pakistan Veterinary</w:t>
            </w:r>
            <w:r w:rsidR="003A0B8A">
              <w:rPr>
                <w:rFonts w:ascii="Esenin script One" w:hAnsi="Esenin script One"/>
                <w:sz w:val="72"/>
                <w:szCs w:val="72"/>
              </w:rPr>
              <w:t xml:space="preserve"> </w:t>
            </w:r>
            <w:r w:rsidRPr="00AE34E1">
              <w:rPr>
                <w:rFonts w:ascii="Esenin script One" w:hAnsi="Esenin script One"/>
                <w:sz w:val="72"/>
                <w:szCs w:val="72"/>
              </w:rPr>
              <w:t>Journal</w:t>
            </w:r>
          </w:p>
          <w:p w14:paraId="79C4CCD2" w14:textId="77777777" w:rsidR="004E1AE3" w:rsidRPr="00AE34E1" w:rsidRDefault="004E1AE3" w:rsidP="00B96FFB">
            <w:pPr>
              <w:jc w:val="center"/>
            </w:pPr>
            <w:r w:rsidRPr="00AE34E1">
              <w:rPr>
                <w:sz w:val="22"/>
                <w:szCs w:val="22"/>
              </w:rPr>
              <w:softHyphen/>
              <w:t>ISSN: 0253-8318 (PRINT), 2074-7764 (ONLINE)</w:t>
            </w:r>
          </w:p>
          <w:p w14:paraId="0DF293E5" w14:textId="0635FA5A" w:rsidR="004E1AE3" w:rsidRPr="00AE34E1" w:rsidRDefault="0076404F" w:rsidP="00F7525F">
            <w:pPr>
              <w:jc w:val="center"/>
              <w:rPr>
                <w:sz w:val="20"/>
                <w:szCs w:val="20"/>
              </w:rPr>
            </w:pPr>
            <w:r w:rsidRPr="005363A7">
              <w:rPr>
                <w:sz w:val="20"/>
                <w:szCs w:val="20"/>
              </w:rPr>
              <w:t>DOI: 10.29261/</w:t>
            </w:r>
            <w:proofErr w:type="spellStart"/>
            <w:r w:rsidRPr="005363A7">
              <w:rPr>
                <w:sz w:val="20"/>
                <w:szCs w:val="20"/>
              </w:rPr>
              <w:t>pakvetj</w:t>
            </w:r>
            <w:proofErr w:type="spellEnd"/>
            <w:r w:rsidRPr="005363A7">
              <w:rPr>
                <w:sz w:val="20"/>
                <w:szCs w:val="20"/>
              </w:rPr>
              <w:t>/20</w:t>
            </w:r>
            <w:r w:rsidR="00681D92">
              <w:rPr>
                <w:sz w:val="20"/>
                <w:szCs w:val="20"/>
              </w:rPr>
              <w:t>2</w:t>
            </w:r>
            <w:r w:rsidR="00F7525F">
              <w:rPr>
                <w:sz w:val="20"/>
                <w:szCs w:val="20"/>
              </w:rPr>
              <w:t>5</w:t>
            </w:r>
            <w:r w:rsidRPr="005363A7">
              <w:rPr>
                <w:sz w:val="20"/>
                <w:szCs w:val="20"/>
              </w:rPr>
              <w:t>.</w:t>
            </w:r>
            <w:r w:rsidR="00CF3E34" w:rsidRPr="00CF3E34">
              <w:rPr>
                <w:color w:val="FF0000"/>
                <w:sz w:val="20"/>
                <w:szCs w:val="20"/>
              </w:rPr>
              <w:t>xxx</w:t>
            </w:r>
            <w:r w:rsidR="004E1AE3" w:rsidRPr="00CF3E34">
              <w:rPr>
                <w:color w:val="FF0000"/>
                <w:sz w:val="20"/>
                <w:szCs w:val="20"/>
              </w:rPr>
              <w:t xml:space="preserve"> </w:t>
            </w:r>
          </w:p>
        </w:tc>
      </w:tr>
    </w:tbl>
    <w:p w14:paraId="2EBDBA8D" w14:textId="7C5D29ED" w:rsidR="004E1AE3" w:rsidRPr="00AE34E1" w:rsidRDefault="003A0B8A" w:rsidP="004E1AE3">
      <w:pPr>
        <w:rPr>
          <w:sz w:val="20"/>
        </w:rPr>
      </w:pPr>
      <w:r>
        <w:rPr>
          <w:noProof/>
          <w:sz w:val="20"/>
        </w:rPr>
        <mc:AlternateContent>
          <mc:Choice Requires="wps">
            <w:drawing>
              <wp:anchor distT="0" distB="0" distL="114300" distR="114300" simplePos="0" relativeHeight="251657728" behindDoc="0" locked="0" layoutInCell="1" allowOverlap="1" wp14:anchorId="25379BCC" wp14:editId="0E520A2D">
                <wp:simplePos x="0" y="0"/>
                <wp:positionH relativeFrom="column">
                  <wp:posOffset>-5080</wp:posOffset>
                </wp:positionH>
                <wp:positionV relativeFrom="paragraph">
                  <wp:posOffset>2540</wp:posOffset>
                </wp:positionV>
                <wp:extent cx="2011680" cy="254635"/>
                <wp:effectExtent l="13970" t="12700" r="1270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4635"/>
                        </a:xfrm>
                        <a:prstGeom prst="rect">
                          <a:avLst/>
                        </a:prstGeom>
                        <a:solidFill>
                          <a:srgbClr val="000000"/>
                        </a:solidFill>
                        <a:ln w="9525">
                          <a:solidFill>
                            <a:srgbClr val="000000"/>
                          </a:solidFill>
                          <a:miter lim="800000"/>
                          <a:headEnd/>
                          <a:tailEnd/>
                        </a:ln>
                      </wps:spPr>
                      <wps:txbx>
                        <w:txbxContent>
                          <w:p w14:paraId="32B7C75A" w14:textId="1401A384" w:rsidR="00890324" w:rsidRPr="00C805D5" w:rsidRDefault="00890324" w:rsidP="004E1AE3">
                            <w:pPr>
                              <w:rPr>
                                <w:rFonts w:eastAsia="DotumChe"/>
                                <w:b/>
                                <w:color w:val="FFFFFF"/>
                                <w:sz w:val="22"/>
                                <w:szCs w:val="22"/>
                              </w:rPr>
                            </w:pPr>
                            <w:r>
                              <w:rPr>
                                <w:rFonts w:eastAsia="DotumChe"/>
                                <w:b/>
                                <w:color w:val="FFFFFF"/>
                                <w:sz w:val="22"/>
                                <w:szCs w:val="22"/>
                              </w:rPr>
                              <w:t>RESEARCH ARTICLE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79BCC" id="_x0000_t202" coordsize="21600,21600" o:spt="202" path="m,l,21600r21600,l21600,xe">
                <v:stroke joinstyle="miter"/>
                <v:path gradientshapeok="t" o:connecttype="rect"/>
              </v:shapetype>
              <v:shape id="Text Box 2" o:spid="_x0000_s1026" type="#_x0000_t202" style="position:absolute;margin-left:-.4pt;margin-top:.2pt;width:158.4pt;height:2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" fillcolor="black">
                <v:textbox>
                  <w:txbxContent>
                    <w:p w14:paraId="32B7C75A" w14:textId="1401A384" w:rsidR="00890324" w:rsidRPr="00C805D5" w:rsidRDefault="00890324" w:rsidP="004E1AE3">
                      <w:pPr>
                        <w:rPr>
                          <w:rFonts w:eastAsia="DotumChe"/>
                          <w:b/>
                          <w:color w:val="FFFFFF"/>
                          <w:sz w:val="22"/>
                          <w:szCs w:val="22"/>
                        </w:rPr>
                      </w:pPr>
                      <w:r>
                        <w:rPr>
                          <w:rFonts w:eastAsia="DotumChe"/>
                          <w:b/>
                          <w:color w:val="FFFFFF"/>
                          <w:sz w:val="22"/>
                          <w:szCs w:val="22"/>
                        </w:rPr>
                        <w:t>RESEARCH ARTICLE</w:t>
                      </w:r>
                    </w:p>
                  </w:txbxContent>
                </v:textbox>
              </v:shape>
            </w:pict>
          </mc:Fallback>
        </mc:AlternateContent>
      </w:r>
    </w:p>
    <w:p w14:paraId="3FAA7A54" w14:textId="77777777" w:rsidR="004E1AE3" w:rsidRPr="00AE34E1" w:rsidRDefault="004E1AE3" w:rsidP="004E1AE3">
      <w:pPr>
        <w:rPr>
          <w:b/>
          <w:sz w:val="20"/>
          <w:szCs w:val="20"/>
        </w:rPr>
      </w:pPr>
    </w:p>
    <w:p w14:paraId="0A23D0D2" w14:textId="5C932AC6" w:rsidR="000A5DEC" w:rsidRPr="000A57FA" w:rsidRDefault="006A7DAE" w:rsidP="000A5DEC">
      <w:pPr>
        <w:autoSpaceDE w:val="0"/>
        <w:autoSpaceDN w:val="0"/>
        <w:adjustRightInd w:val="0"/>
        <w:rPr>
          <w:b/>
          <w:szCs w:val="20"/>
        </w:rPr>
      </w:pPr>
      <w:bookmarkStart w:id="0" w:name="OLE_LINK1"/>
      <w:r w:rsidRPr="005D574D">
        <w:rPr>
          <w:b/>
          <w:bCs/>
          <w:lang w:bidi="ar"/>
        </w:rPr>
        <w:t xml:space="preserve">Effect of Dietary L-carnitine Supplementation on Fresh Semen Characteristics and Post-thaw Sperm Quality in </w:t>
      </w:r>
      <w:bookmarkEnd w:id="0"/>
      <w:r w:rsidRPr="005D574D">
        <w:rPr>
          <w:b/>
          <w:bCs/>
          <w:lang w:bidi="ar"/>
        </w:rPr>
        <w:t>Male R</w:t>
      </w:r>
      <w:r w:rsidRPr="005D574D">
        <w:rPr>
          <w:rFonts w:hint="eastAsia"/>
          <w:b/>
          <w:bCs/>
          <w:lang w:bidi="ar"/>
        </w:rPr>
        <w:t>abbits</w:t>
      </w:r>
    </w:p>
    <w:p w14:paraId="1B0EB5C6" w14:textId="77777777" w:rsidR="000A5DEC" w:rsidRPr="00AE34E1" w:rsidRDefault="000A5DEC" w:rsidP="000A5DEC">
      <w:pPr>
        <w:autoSpaceDE w:val="0"/>
        <w:autoSpaceDN w:val="0"/>
        <w:adjustRightInd w:val="0"/>
        <w:rPr>
          <w:sz w:val="20"/>
          <w:szCs w:val="20"/>
        </w:rPr>
      </w:pPr>
    </w:p>
    <w:p w14:paraId="1E602A39" w14:textId="7F3E1ED4" w:rsidR="000A5DEC" w:rsidRPr="000A57FA" w:rsidRDefault="006A7DAE" w:rsidP="000A5DEC">
      <w:pPr>
        <w:autoSpaceDE w:val="0"/>
        <w:autoSpaceDN w:val="0"/>
        <w:adjustRightInd w:val="0"/>
        <w:rPr>
          <w:spacing w:val="-2"/>
          <w:sz w:val="20"/>
          <w:szCs w:val="20"/>
        </w:rPr>
      </w:pPr>
      <w:proofErr w:type="spellStart"/>
      <w:r w:rsidRPr="002C7FC2">
        <w:rPr>
          <w:sz w:val="20"/>
          <w:szCs w:val="20"/>
          <w:lang w:bidi="ar"/>
        </w:rPr>
        <w:t>Chengfang</w:t>
      </w:r>
      <w:proofErr w:type="spellEnd"/>
      <w:r w:rsidRPr="002C7FC2">
        <w:rPr>
          <w:sz w:val="20"/>
          <w:szCs w:val="20"/>
          <w:lang w:bidi="ar"/>
        </w:rPr>
        <w:t xml:space="preserve"> </w:t>
      </w:r>
      <w:proofErr w:type="spellStart"/>
      <w:r w:rsidRPr="002C7FC2">
        <w:rPr>
          <w:sz w:val="20"/>
          <w:szCs w:val="20"/>
          <w:lang w:bidi="ar"/>
        </w:rPr>
        <w:t>Gaoa</w:t>
      </w:r>
      <w:proofErr w:type="spellEnd"/>
      <w:r w:rsidRPr="002C7FC2">
        <w:rPr>
          <w:sz w:val="20"/>
          <w:szCs w:val="20"/>
          <w:lang w:bidi="ar"/>
        </w:rPr>
        <w:t xml:space="preserve">, Ming </w:t>
      </w:r>
      <w:proofErr w:type="spellStart"/>
      <w:r w:rsidRPr="002C7FC2">
        <w:rPr>
          <w:sz w:val="20"/>
          <w:szCs w:val="20"/>
          <w:lang w:bidi="ar"/>
        </w:rPr>
        <w:t>Liua</w:t>
      </w:r>
      <w:proofErr w:type="spellEnd"/>
      <w:r w:rsidRPr="002C7FC2">
        <w:rPr>
          <w:sz w:val="20"/>
          <w:szCs w:val="20"/>
          <w:lang w:bidi="ar"/>
        </w:rPr>
        <w:t xml:space="preserve">, </w:t>
      </w:r>
      <w:proofErr w:type="spellStart"/>
      <w:r w:rsidRPr="002C7FC2">
        <w:rPr>
          <w:sz w:val="20"/>
          <w:szCs w:val="20"/>
          <w:lang w:bidi="ar"/>
        </w:rPr>
        <w:t>Liya</w:t>
      </w:r>
      <w:proofErr w:type="spellEnd"/>
      <w:r w:rsidRPr="002C7FC2">
        <w:rPr>
          <w:sz w:val="20"/>
          <w:szCs w:val="20"/>
          <w:lang w:bidi="ar"/>
        </w:rPr>
        <w:t xml:space="preserve"> Bai</w:t>
      </w:r>
      <w:r>
        <w:rPr>
          <w:sz w:val="20"/>
          <w:szCs w:val="20"/>
          <w:vertAlign w:val="superscript"/>
          <w:lang w:bidi="ar"/>
        </w:rPr>
        <w:t>2</w:t>
      </w:r>
      <w:r w:rsidRPr="002C7FC2">
        <w:rPr>
          <w:sz w:val="20"/>
          <w:szCs w:val="20"/>
          <w:lang w:bidi="ar"/>
        </w:rPr>
        <w:t xml:space="preserve">, </w:t>
      </w:r>
      <w:proofErr w:type="spellStart"/>
      <w:r w:rsidRPr="002C7FC2">
        <w:rPr>
          <w:sz w:val="20"/>
          <w:szCs w:val="20"/>
          <w:lang w:bidi="ar"/>
        </w:rPr>
        <w:t>Yuxiang</w:t>
      </w:r>
      <w:proofErr w:type="spellEnd"/>
      <w:r w:rsidRPr="002C7FC2">
        <w:rPr>
          <w:sz w:val="20"/>
          <w:szCs w:val="20"/>
          <w:lang w:bidi="ar"/>
        </w:rPr>
        <w:t xml:space="preserve"> Lan</w:t>
      </w:r>
      <w:r>
        <w:rPr>
          <w:sz w:val="20"/>
          <w:szCs w:val="20"/>
          <w:vertAlign w:val="superscript"/>
          <w:lang w:bidi="ar"/>
        </w:rPr>
        <w:t>3</w:t>
      </w:r>
      <w:r w:rsidRPr="002C7FC2">
        <w:rPr>
          <w:sz w:val="20"/>
          <w:szCs w:val="20"/>
          <w:lang w:bidi="ar"/>
        </w:rPr>
        <w:t xml:space="preserve">, </w:t>
      </w:r>
      <w:proofErr w:type="spellStart"/>
      <w:r w:rsidRPr="002C7FC2">
        <w:rPr>
          <w:sz w:val="20"/>
          <w:szCs w:val="20"/>
          <w:lang w:bidi="ar"/>
        </w:rPr>
        <w:t>Shikun</w:t>
      </w:r>
      <w:proofErr w:type="spellEnd"/>
      <w:r w:rsidRPr="002C7FC2">
        <w:rPr>
          <w:sz w:val="20"/>
          <w:szCs w:val="20"/>
          <w:lang w:bidi="ar"/>
        </w:rPr>
        <w:t xml:space="preserve"> Sun</w:t>
      </w:r>
      <w:r>
        <w:rPr>
          <w:sz w:val="20"/>
          <w:szCs w:val="20"/>
          <w:vertAlign w:val="superscript"/>
          <w:lang w:bidi="ar"/>
        </w:rPr>
        <w:t>1</w:t>
      </w:r>
      <w:r w:rsidRPr="002C7FC2">
        <w:rPr>
          <w:sz w:val="20"/>
          <w:szCs w:val="20"/>
          <w:lang w:bidi="ar"/>
        </w:rPr>
        <w:t xml:space="preserve">, </w:t>
      </w:r>
      <w:proofErr w:type="spellStart"/>
      <w:r w:rsidRPr="002C7FC2">
        <w:rPr>
          <w:sz w:val="20"/>
          <w:szCs w:val="20"/>
          <w:lang w:bidi="ar"/>
        </w:rPr>
        <w:t>Dongjin</w:t>
      </w:r>
      <w:proofErr w:type="spellEnd"/>
      <w:r w:rsidRPr="002C7FC2">
        <w:rPr>
          <w:sz w:val="20"/>
          <w:szCs w:val="20"/>
          <w:lang w:bidi="ar"/>
        </w:rPr>
        <w:t xml:space="preserve"> Chen</w:t>
      </w:r>
      <w:r>
        <w:rPr>
          <w:sz w:val="20"/>
          <w:szCs w:val="20"/>
          <w:vertAlign w:val="superscript"/>
          <w:lang w:bidi="ar"/>
        </w:rPr>
        <w:t>1</w:t>
      </w:r>
      <w:r w:rsidRPr="002C7FC2">
        <w:rPr>
          <w:sz w:val="20"/>
          <w:szCs w:val="20"/>
          <w:lang w:bidi="ar"/>
        </w:rPr>
        <w:t xml:space="preserve">, </w:t>
      </w:r>
      <w:proofErr w:type="spellStart"/>
      <w:r w:rsidRPr="002C7FC2">
        <w:rPr>
          <w:sz w:val="20"/>
          <w:szCs w:val="20"/>
          <w:lang w:bidi="ar"/>
        </w:rPr>
        <w:t>Jinxiang</w:t>
      </w:r>
      <w:proofErr w:type="spellEnd"/>
      <w:r w:rsidRPr="002C7FC2">
        <w:rPr>
          <w:sz w:val="20"/>
          <w:szCs w:val="20"/>
          <w:lang w:bidi="ar"/>
        </w:rPr>
        <w:t xml:space="preserve"> Wang</w:t>
      </w:r>
      <w:r>
        <w:rPr>
          <w:sz w:val="20"/>
          <w:szCs w:val="20"/>
          <w:vertAlign w:val="superscript"/>
          <w:lang w:bidi="ar"/>
        </w:rPr>
        <w:t>1</w:t>
      </w:r>
      <w:r w:rsidRPr="002C7FC2">
        <w:rPr>
          <w:sz w:val="20"/>
          <w:szCs w:val="20"/>
          <w:lang w:bidi="ar"/>
        </w:rPr>
        <w:t xml:space="preserve">, </w:t>
      </w:r>
      <w:proofErr w:type="spellStart"/>
      <w:r w:rsidRPr="002C7FC2">
        <w:rPr>
          <w:sz w:val="20"/>
          <w:szCs w:val="20"/>
          <w:lang w:bidi="ar"/>
        </w:rPr>
        <w:t>Xiping</w:t>
      </w:r>
      <w:proofErr w:type="spellEnd"/>
      <w:r w:rsidRPr="002C7FC2">
        <w:rPr>
          <w:sz w:val="20"/>
          <w:szCs w:val="20"/>
          <w:lang w:bidi="ar"/>
        </w:rPr>
        <w:t xml:space="preserve"> Xie</w:t>
      </w:r>
      <w:r>
        <w:rPr>
          <w:sz w:val="20"/>
          <w:szCs w:val="20"/>
          <w:vertAlign w:val="superscript"/>
          <w:lang w:bidi="ar"/>
        </w:rPr>
        <w:t>1</w:t>
      </w:r>
      <w:r w:rsidRPr="002C7FC2">
        <w:rPr>
          <w:sz w:val="20"/>
          <w:szCs w:val="20"/>
          <w:lang w:bidi="ar"/>
        </w:rPr>
        <w:t xml:space="preserve"> and Lei Sang</w:t>
      </w:r>
      <w:r>
        <w:rPr>
          <w:sz w:val="20"/>
          <w:szCs w:val="20"/>
          <w:vertAlign w:val="superscript"/>
          <w:lang w:bidi="ar"/>
        </w:rPr>
        <w:t>1</w:t>
      </w:r>
      <w:r w:rsidRPr="002C7FC2">
        <w:rPr>
          <w:sz w:val="20"/>
          <w:szCs w:val="20"/>
          <w:vertAlign w:val="superscript"/>
          <w:lang w:bidi="ar"/>
        </w:rPr>
        <w:t xml:space="preserve">, </w:t>
      </w:r>
      <w:r w:rsidRPr="002C7FC2">
        <w:rPr>
          <w:sz w:val="20"/>
          <w:szCs w:val="20"/>
          <w:lang w:bidi="ar"/>
        </w:rPr>
        <w:t>*</w:t>
      </w:r>
    </w:p>
    <w:p w14:paraId="6A409682" w14:textId="77777777" w:rsidR="000A5DEC" w:rsidRPr="00AE34E1" w:rsidRDefault="000A5DEC" w:rsidP="000A5DEC">
      <w:pPr>
        <w:autoSpaceDE w:val="0"/>
        <w:autoSpaceDN w:val="0"/>
        <w:adjustRightInd w:val="0"/>
        <w:rPr>
          <w:sz w:val="20"/>
          <w:szCs w:val="20"/>
        </w:rPr>
      </w:pPr>
    </w:p>
    <w:p w14:paraId="4ADAF635" w14:textId="0FB4F797" w:rsidR="006A2C9F" w:rsidRPr="0076298E" w:rsidRDefault="006A7DAE" w:rsidP="002203C4">
      <w:pPr>
        <w:pStyle w:val="v1ydp1e2720efyiv6592615979ydp65b58024msonormal"/>
        <w:shd w:val="clear" w:color="auto" w:fill="FFFFFF"/>
        <w:spacing w:before="0" w:beforeAutospacing="0" w:after="0" w:afterAutospacing="0"/>
        <w:jc w:val="both"/>
        <w:textAlignment w:val="baseline"/>
        <w:rPr>
          <w:sz w:val="20"/>
          <w:szCs w:val="20"/>
        </w:rPr>
      </w:pPr>
      <w:r>
        <w:rPr>
          <w:sz w:val="20"/>
          <w:szCs w:val="20"/>
          <w:vertAlign w:val="superscript"/>
          <w:lang w:bidi="ar"/>
        </w:rPr>
        <w:t>1</w:t>
      </w:r>
      <w:r w:rsidRPr="002C7FC2">
        <w:rPr>
          <w:sz w:val="20"/>
          <w:szCs w:val="20"/>
          <w:lang w:bidi="ar"/>
        </w:rPr>
        <w:t xml:space="preserve">Fujian Key Laboratory of Animal Genetics and Breeding, Institute of Animal Husbandry and Veterinary Medicine, Fujian Academy of Agricultural Sciences, Fuzhou 350013, China; </w:t>
      </w:r>
      <w:r>
        <w:rPr>
          <w:sz w:val="20"/>
          <w:szCs w:val="20"/>
          <w:vertAlign w:val="superscript"/>
          <w:lang w:bidi="ar"/>
        </w:rPr>
        <w:t>2</w:t>
      </w:r>
      <w:r w:rsidRPr="002C7FC2">
        <w:rPr>
          <w:sz w:val="20"/>
          <w:szCs w:val="20"/>
          <w:lang w:bidi="ar"/>
        </w:rPr>
        <w:t xml:space="preserve">Key Laboratory of Livestock and Poultry Multi-omics of MARA, Institute of Animal Science and Veterinary Medicine, Shandong Academy of Agricultural Sciences, Jinan, 250100, China; </w:t>
      </w:r>
      <w:r>
        <w:rPr>
          <w:sz w:val="20"/>
          <w:szCs w:val="20"/>
          <w:vertAlign w:val="superscript"/>
          <w:lang w:bidi="ar"/>
        </w:rPr>
        <w:t>3</w:t>
      </w:r>
      <w:r w:rsidRPr="002C7FC2">
        <w:rPr>
          <w:sz w:val="20"/>
          <w:szCs w:val="20"/>
          <w:lang w:bidi="ar"/>
        </w:rPr>
        <w:t>College of Animal Sciences, Fujian Agriculture and Forestry University, Fuzhou 350002, China</w:t>
      </w:r>
    </w:p>
    <w:p w14:paraId="4D242831" w14:textId="15C77F5E" w:rsidR="004E1AE3" w:rsidRPr="00AE34E1" w:rsidRDefault="004E1AE3" w:rsidP="004E1AE3">
      <w:pPr>
        <w:rPr>
          <w:sz w:val="20"/>
          <w:szCs w:val="20"/>
        </w:rPr>
      </w:pPr>
      <w:r w:rsidRPr="00AE34E1">
        <w:rPr>
          <w:bCs/>
          <w:sz w:val="20"/>
          <w:szCs w:val="20"/>
        </w:rPr>
        <w:t>*Corresponding author:</w:t>
      </w:r>
      <w:r w:rsidRPr="00AE34E1">
        <w:rPr>
          <w:sz w:val="20"/>
          <w:szCs w:val="20"/>
        </w:rPr>
        <w:t xml:space="preserve"> </w:t>
      </w:r>
      <w:r w:rsidR="006A7DAE" w:rsidRPr="006A7DAE">
        <w:rPr>
          <w:sz w:val="20"/>
          <w:szCs w:val="20"/>
        </w:rPr>
        <w:t>sanglei1981@163.com</w:t>
      </w:r>
    </w:p>
    <w:p w14:paraId="7F26D0F0" w14:textId="77777777" w:rsidR="004E1AE3" w:rsidRPr="00AE34E1" w:rsidRDefault="004E1AE3" w:rsidP="004E1AE3">
      <w:pPr>
        <w:rPr>
          <w:sz w:val="20"/>
          <w:szCs w:val="20"/>
        </w:rPr>
      </w:pPr>
    </w:p>
    <w:tbl>
      <w:tblPr>
        <w:tblW w:w="9720" w:type="dxa"/>
        <w:tblLook w:val="01E0" w:firstRow="1" w:lastRow="1" w:firstColumn="1" w:lastColumn="1" w:noHBand="0" w:noVBand="0"/>
      </w:tblPr>
      <w:tblGrid>
        <w:gridCol w:w="1170"/>
        <w:gridCol w:w="1330"/>
        <w:gridCol w:w="236"/>
        <w:gridCol w:w="6984"/>
      </w:tblGrid>
      <w:tr w:rsidR="00AE34E1" w:rsidRPr="00AE34E1" w14:paraId="0BFBCFD9" w14:textId="77777777" w:rsidTr="00261303">
        <w:tc>
          <w:tcPr>
            <w:tcW w:w="2500" w:type="dxa"/>
            <w:gridSpan w:val="2"/>
            <w:tcBorders>
              <w:top w:val="single" w:sz="2" w:space="0" w:color="auto"/>
              <w:bottom w:val="single" w:sz="2" w:space="0" w:color="auto"/>
            </w:tcBorders>
          </w:tcPr>
          <w:p w14:paraId="0F2A9208" w14:textId="77777777" w:rsidR="004E1AE3" w:rsidRPr="00AE34E1" w:rsidRDefault="004E1AE3" w:rsidP="00B96FFB">
            <w:pPr>
              <w:ind w:left="-108" w:firstLine="108"/>
              <w:jc w:val="both"/>
              <w:rPr>
                <w:spacing w:val="40"/>
                <w:sz w:val="14"/>
                <w:szCs w:val="20"/>
              </w:rPr>
            </w:pPr>
          </w:p>
          <w:p w14:paraId="6F3106B5" w14:textId="71D7CBDF" w:rsidR="004E1AE3" w:rsidRPr="00AE34E1" w:rsidRDefault="004E1AE3" w:rsidP="00112858">
            <w:pPr>
              <w:ind w:left="-108" w:right="-128"/>
              <w:jc w:val="both"/>
              <w:rPr>
                <w:sz w:val="20"/>
                <w:szCs w:val="20"/>
              </w:rPr>
            </w:pPr>
            <w:r w:rsidRPr="00AE34E1">
              <w:rPr>
                <w:sz w:val="20"/>
                <w:szCs w:val="20"/>
              </w:rPr>
              <w:t>ARTICLE HISTORY</w:t>
            </w:r>
            <w:r w:rsidR="00E54A4F" w:rsidRPr="00AE34E1">
              <w:rPr>
                <w:sz w:val="20"/>
                <w:szCs w:val="20"/>
              </w:rPr>
              <w:t xml:space="preserve"> </w:t>
            </w:r>
            <w:r w:rsidR="00E54A4F" w:rsidRPr="00AE34E1">
              <w:rPr>
                <w:sz w:val="18"/>
                <w:szCs w:val="18"/>
              </w:rPr>
              <w:t>(</w:t>
            </w:r>
            <w:r w:rsidR="00D84C12">
              <w:rPr>
                <w:sz w:val="18"/>
                <w:szCs w:val="18"/>
              </w:rPr>
              <w:t>2</w:t>
            </w:r>
            <w:r w:rsidR="00DB4F11">
              <w:rPr>
                <w:sz w:val="18"/>
                <w:szCs w:val="18"/>
              </w:rPr>
              <w:t>5</w:t>
            </w:r>
            <w:r w:rsidR="00D84C12">
              <w:rPr>
                <w:sz w:val="18"/>
                <w:szCs w:val="18"/>
              </w:rPr>
              <w:t>-</w:t>
            </w:r>
            <w:r w:rsidR="000451D3">
              <w:rPr>
                <w:sz w:val="18"/>
                <w:szCs w:val="18"/>
              </w:rPr>
              <w:t>779</w:t>
            </w:r>
            <w:r w:rsidR="00E54A4F" w:rsidRPr="00AE34E1">
              <w:rPr>
                <w:sz w:val="18"/>
                <w:szCs w:val="18"/>
              </w:rPr>
              <w:t>)</w:t>
            </w:r>
          </w:p>
          <w:p w14:paraId="46DB4ABC" w14:textId="77777777" w:rsidR="004E1AE3" w:rsidRPr="00AE34E1" w:rsidRDefault="004E1AE3" w:rsidP="00B96FFB">
            <w:pPr>
              <w:ind w:left="-108" w:firstLine="108"/>
              <w:jc w:val="both"/>
              <w:rPr>
                <w:sz w:val="10"/>
              </w:rPr>
            </w:pPr>
          </w:p>
        </w:tc>
        <w:tc>
          <w:tcPr>
            <w:tcW w:w="236" w:type="dxa"/>
            <w:tcBorders>
              <w:top w:val="single" w:sz="2" w:space="0" w:color="auto"/>
            </w:tcBorders>
          </w:tcPr>
          <w:p w14:paraId="65CEE73C" w14:textId="77777777" w:rsidR="004E1AE3" w:rsidRPr="00AE34E1" w:rsidRDefault="004E1AE3" w:rsidP="00B96FFB">
            <w:pPr>
              <w:jc w:val="both"/>
              <w:rPr>
                <w:sz w:val="20"/>
              </w:rPr>
            </w:pPr>
          </w:p>
        </w:tc>
        <w:tc>
          <w:tcPr>
            <w:tcW w:w="6984" w:type="dxa"/>
            <w:tcBorders>
              <w:top w:val="single" w:sz="2" w:space="0" w:color="auto"/>
              <w:bottom w:val="single" w:sz="2" w:space="0" w:color="auto"/>
            </w:tcBorders>
          </w:tcPr>
          <w:p w14:paraId="4D89D9F0" w14:textId="77777777" w:rsidR="004E1AE3" w:rsidRPr="00AE34E1" w:rsidRDefault="004E1AE3" w:rsidP="00B96FFB">
            <w:pPr>
              <w:jc w:val="both"/>
              <w:rPr>
                <w:b/>
                <w:spacing w:val="40"/>
                <w:sz w:val="14"/>
                <w:szCs w:val="20"/>
              </w:rPr>
            </w:pPr>
          </w:p>
          <w:p w14:paraId="3C7AB0AB" w14:textId="77777777" w:rsidR="004E1AE3" w:rsidRPr="00AE34E1" w:rsidRDefault="004E1AE3" w:rsidP="00B96FFB">
            <w:pPr>
              <w:jc w:val="both"/>
              <w:rPr>
                <w:b/>
                <w:spacing w:val="40"/>
                <w:sz w:val="20"/>
                <w:szCs w:val="20"/>
              </w:rPr>
            </w:pPr>
            <w:r w:rsidRPr="00AE34E1">
              <w:rPr>
                <w:b/>
                <w:spacing w:val="40"/>
                <w:sz w:val="20"/>
                <w:szCs w:val="20"/>
              </w:rPr>
              <w:t>ABSTRACT</w:t>
            </w:r>
          </w:p>
          <w:p w14:paraId="49D859DA" w14:textId="77777777" w:rsidR="004E1AE3" w:rsidRPr="00AE34E1" w:rsidRDefault="004E1AE3" w:rsidP="00B96FFB">
            <w:pPr>
              <w:jc w:val="both"/>
              <w:rPr>
                <w:sz w:val="10"/>
              </w:rPr>
            </w:pPr>
          </w:p>
        </w:tc>
      </w:tr>
      <w:tr w:rsidR="00AE34E1" w:rsidRPr="00AE34E1" w14:paraId="6B434AE5" w14:textId="77777777" w:rsidTr="00261303">
        <w:tc>
          <w:tcPr>
            <w:tcW w:w="1170" w:type="dxa"/>
            <w:tcBorders>
              <w:top w:val="single" w:sz="2" w:space="0" w:color="auto"/>
              <w:bottom w:val="single" w:sz="2" w:space="0" w:color="auto"/>
            </w:tcBorders>
          </w:tcPr>
          <w:p w14:paraId="56616E87" w14:textId="77777777" w:rsidR="004E1AE3" w:rsidRPr="00AE34E1" w:rsidRDefault="004E1AE3" w:rsidP="00841E54">
            <w:pPr>
              <w:ind w:left="-108" w:right="-152"/>
              <w:rPr>
                <w:rFonts w:ascii="Gill Sans MT" w:eastAsia="Batang" w:hAnsi="Gill Sans MT"/>
                <w:sz w:val="16"/>
                <w:szCs w:val="16"/>
              </w:rPr>
            </w:pPr>
            <w:r w:rsidRPr="00AE34E1">
              <w:rPr>
                <w:rFonts w:ascii="Gill Sans MT" w:eastAsia="Batang" w:hAnsi="Gill Sans MT"/>
                <w:sz w:val="16"/>
                <w:szCs w:val="16"/>
              </w:rPr>
              <w:t>Received:</w:t>
            </w:r>
          </w:p>
          <w:p w14:paraId="72DA21CF" w14:textId="77777777" w:rsidR="004E1AE3" w:rsidRPr="00AE34E1" w:rsidRDefault="004E1AE3" w:rsidP="00841E54">
            <w:pPr>
              <w:ind w:left="-108" w:right="-152"/>
              <w:rPr>
                <w:rFonts w:ascii="Gill Sans MT" w:eastAsia="Batang" w:hAnsi="Gill Sans MT"/>
                <w:sz w:val="16"/>
                <w:szCs w:val="16"/>
              </w:rPr>
            </w:pPr>
            <w:r w:rsidRPr="00AE34E1">
              <w:rPr>
                <w:rFonts w:ascii="Gill Sans MT" w:eastAsia="Batang" w:hAnsi="Gill Sans MT"/>
                <w:sz w:val="16"/>
                <w:szCs w:val="16"/>
              </w:rPr>
              <w:t>Revised:</w:t>
            </w:r>
          </w:p>
          <w:p w14:paraId="354FEA33" w14:textId="77777777" w:rsidR="004E1AE3" w:rsidRPr="00AE34E1" w:rsidRDefault="004E1AE3" w:rsidP="00841E54">
            <w:pPr>
              <w:ind w:left="-108" w:right="-152"/>
              <w:jc w:val="both"/>
              <w:rPr>
                <w:rFonts w:ascii="Gill Sans MT" w:eastAsia="Batang" w:hAnsi="Gill Sans MT"/>
                <w:sz w:val="16"/>
                <w:szCs w:val="16"/>
              </w:rPr>
            </w:pPr>
            <w:r w:rsidRPr="00AE34E1">
              <w:rPr>
                <w:rFonts w:ascii="Gill Sans MT" w:eastAsia="Batang" w:hAnsi="Gill Sans MT"/>
                <w:sz w:val="16"/>
                <w:szCs w:val="16"/>
              </w:rPr>
              <w:t>Accepted:</w:t>
            </w:r>
          </w:p>
          <w:p w14:paraId="55D884DC" w14:textId="77777777" w:rsidR="00841E54" w:rsidRPr="00AE34E1" w:rsidRDefault="00246920" w:rsidP="00841E54">
            <w:pPr>
              <w:ind w:left="-108" w:right="-152"/>
              <w:jc w:val="both"/>
              <w:rPr>
                <w:rFonts w:ascii="Gill Sans MT" w:hAnsi="Gill Sans MT"/>
                <w:sz w:val="16"/>
                <w:szCs w:val="16"/>
              </w:rPr>
            </w:pPr>
            <w:r>
              <w:rPr>
                <w:rFonts w:ascii="Gill Sans MT" w:eastAsia="Batang" w:hAnsi="Gill Sans MT"/>
                <w:sz w:val="16"/>
                <w:szCs w:val="16"/>
              </w:rPr>
              <w:t>Published online:</w:t>
            </w:r>
          </w:p>
        </w:tc>
        <w:tc>
          <w:tcPr>
            <w:tcW w:w="1330" w:type="dxa"/>
            <w:tcBorders>
              <w:top w:val="single" w:sz="2" w:space="0" w:color="auto"/>
              <w:left w:val="nil"/>
              <w:bottom w:val="single" w:sz="2" w:space="0" w:color="auto"/>
            </w:tcBorders>
          </w:tcPr>
          <w:p w14:paraId="3328E29E" w14:textId="77777777" w:rsidR="006A7DAE" w:rsidRDefault="006A7DAE" w:rsidP="006A7DAE">
            <w:pPr>
              <w:ind w:left="-108" w:right="-152"/>
              <w:jc w:val="both"/>
              <w:rPr>
                <w:rFonts w:ascii="Gill Sans MT" w:hAnsi="Gill Sans MT"/>
                <w:sz w:val="16"/>
                <w:szCs w:val="16"/>
              </w:rPr>
            </w:pPr>
            <w:r>
              <w:rPr>
                <w:rFonts w:ascii="Gill Sans MT" w:hAnsi="Gill Sans MT"/>
                <w:sz w:val="16"/>
                <w:szCs w:val="16"/>
              </w:rPr>
              <w:t>August 0</w:t>
            </w:r>
            <w:r w:rsidRPr="006A7DAE">
              <w:rPr>
                <w:rFonts w:ascii="Gill Sans MT" w:hAnsi="Gill Sans MT"/>
                <w:sz w:val="16"/>
                <w:szCs w:val="16"/>
              </w:rPr>
              <w:t>6</w:t>
            </w:r>
            <w:r>
              <w:rPr>
                <w:rFonts w:ascii="Gill Sans MT" w:hAnsi="Gill Sans MT"/>
                <w:sz w:val="16"/>
                <w:szCs w:val="16"/>
              </w:rPr>
              <w:t>, 20</w:t>
            </w:r>
            <w:r w:rsidRPr="006A7DAE">
              <w:rPr>
                <w:rFonts w:ascii="Gill Sans MT" w:hAnsi="Gill Sans MT"/>
                <w:sz w:val="16"/>
                <w:szCs w:val="16"/>
              </w:rPr>
              <w:t>25</w:t>
            </w:r>
          </w:p>
          <w:p w14:paraId="7E473050" w14:textId="0E42AB81" w:rsidR="006A7DAE" w:rsidRDefault="006A7DAE" w:rsidP="006A7DAE">
            <w:pPr>
              <w:ind w:left="-108" w:right="-152"/>
              <w:jc w:val="both"/>
              <w:rPr>
                <w:rFonts w:ascii="Gill Sans MT" w:hAnsi="Gill Sans MT"/>
                <w:sz w:val="16"/>
                <w:szCs w:val="16"/>
              </w:rPr>
            </w:pPr>
            <w:r>
              <w:rPr>
                <w:rFonts w:ascii="Gill Sans MT" w:hAnsi="Gill Sans MT"/>
                <w:sz w:val="16"/>
                <w:szCs w:val="16"/>
              </w:rPr>
              <w:t xml:space="preserve">September </w:t>
            </w:r>
            <w:r w:rsidRPr="006A7DAE">
              <w:rPr>
                <w:rFonts w:ascii="Gill Sans MT" w:hAnsi="Gill Sans MT"/>
                <w:sz w:val="16"/>
                <w:szCs w:val="16"/>
              </w:rPr>
              <w:t>16</w:t>
            </w:r>
            <w:r>
              <w:rPr>
                <w:rFonts w:ascii="Gill Sans MT" w:hAnsi="Gill Sans MT"/>
                <w:sz w:val="16"/>
                <w:szCs w:val="16"/>
              </w:rPr>
              <w:t>, 20</w:t>
            </w:r>
            <w:r w:rsidRPr="006A7DAE">
              <w:rPr>
                <w:rFonts w:ascii="Gill Sans MT" w:hAnsi="Gill Sans MT"/>
                <w:sz w:val="16"/>
                <w:szCs w:val="16"/>
              </w:rPr>
              <w:t>25</w:t>
            </w:r>
          </w:p>
          <w:p w14:paraId="6E6DE00F" w14:textId="65518C9D" w:rsidR="00886EA4" w:rsidRPr="00AE34E1" w:rsidRDefault="006A7DAE" w:rsidP="006A7DAE">
            <w:pPr>
              <w:ind w:left="-108" w:right="-152"/>
              <w:jc w:val="both"/>
              <w:rPr>
                <w:rFonts w:ascii="Gill Sans MT" w:hAnsi="Gill Sans MT"/>
                <w:sz w:val="16"/>
                <w:szCs w:val="16"/>
              </w:rPr>
            </w:pPr>
            <w:r>
              <w:rPr>
                <w:rFonts w:ascii="Gill Sans MT" w:hAnsi="Gill Sans MT"/>
                <w:sz w:val="16"/>
                <w:szCs w:val="16"/>
              </w:rPr>
              <w:t xml:space="preserve">September </w:t>
            </w:r>
            <w:r w:rsidRPr="006A7DAE">
              <w:rPr>
                <w:rFonts w:ascii="Gill Sans MT" w:hAnsi="Gill Sans MT"/>
                <w:sz w:val="16"/>
                <w:szCs w:val="16"/>
              </w:rPr>
              <w:t>18</w:t>
            </w:r>
            <w:r>
              <w:rPr>
                <w:rFonts w:ascii="Gill Sans MT" w:hAnsi="Gill Sans MT"/>
                <w:sz w:val="16"/>
                <w:szCs w:val="16"/>
              </w:rPr>
              <w:t>, 20</w:t>
            </w:r>
            <w:r w:rsidRPr="006A7DAE">
              <w:rPr>
                <w:rFonts w:ascii="Gill Sans MT" w:hAnsi="Gill Sans MT"/>
                <w:sz w:val="16"/>
                <w:szCs w:val="16"/>
              </w:rPr>
              <w:t>25</w:t>
            </w:r>
          </w:p>
        </w:tc>
        <w:tc>
          <w:tcPr>
            <w:tcW w:w="236" w:type="dxa"/>
          </w:tcPr>
          <w:p w14:paraId="08398E1F" w14:textId="77777777" w:rsidR="004E1AE3" w:rsidRPr="00AE34E1" w:rsidRDefault="004E1AE3" w:rsidP="00B96FFB">
            <w:pPr>
              <w:jc w:val="both"/>
              <w:rPr>
                <w:sz w:val="20"/>
              </w:rPr>
            </w:pPr>
          </w:p>
        </w:tc>
        <w:tc>
          <w:tcPr>
            <w:tcW w:w="6984" w:type="dxa"/>
            <w:vMerge w:val="restart"/>
            <w:tcBorders>
              <w:top w:val="single" w:sz="2" w:space="0" w:color="auto"/>
            </w:tcBorders>
          </w:tcPr>
          <w:p w14:paraId="6433789B" w14:textId="7E743E28" w:rsidR="004E1AE3" w:rsidRPr="0076298E" w:rsidRDefault="006A7DAE" w:rsidP="00590FD6">
            <w:pPr>
              <w:jc w:val="both"/>
              <w:rPr>
                <w:sz w:val="20"/>
              </w:rPr>
            </w:pPr>
            <w:r w:rsidRPr="002C7FC2">
              <w:rPr>
                <w:sz w:val="20"/>
                <w:szCs w:val="20"/>
              </w:rPr>
              <w:t xml:space="preserve">Oxidative stress is a major factor adversely affecting semen quality in male rabbits. L-carnitine (LC) is an antioxidant that neutralizes harmful free radicals, protecting cell membranes (particularly mitochondrial membranes) from oxidative stress. This study investigated the effects of dietary LC supplementation (0, 75, 150, 300 and 450mg/kg) on sperm kinematic analysis, antioxidant capacity, </w:t>
            </w:r>
            <w:r w:rsidRPr="002C7FC2">
              <w:rPr>
                <w:rFonts w:eastAsia="Segoe UI"/>
                <w:sz w:val="20"/>
                <w:szCs w:val="20"/>
                <w:shd w:val="clear" w:color="auto" w:fill="FFFFFF"/>
              </w:rPr>
              <w:t>membrane integrity</w:t>
            </w:r>
            <w:r w:rsidRPr="002C7FC2">
              <w:rPr>
                <w:sz w:val="20"/>
                <w:szCs w:val="20"/>
                <w:shd w:val="clear" w:color="auto" w:fill="FFFFFF"/>
              </w:rPr>
              <w:t xml:space="preserve">, </w:t>
            </w:r>
            <w:r w:rsidRPr="002C7FC2">
              <w:rPr>
                <w:rFonts w:eastAsia="Noto Sans SC Black"/>
                <w:sz w:val="20"/>
                <w:szCs w:val="20"/>
                <w:shd w:val="clear" w:color="auto" w:fill="FFFFFF"/>
              </w:rPr>
              <w:t xml:space="preserve">acrosome integrity, </w:t>
            </w:r>
            <w:r w:rsidRPr="002C7FC2">
              <w:rPr>
                <w:rFonts w:eastAsia="Segoe UI"/>
                <w:sz w:val="20"/>
                <w:szCs w:val="20"/>
                <w:shd w:val="clear" w:color="auto" w:fill="FFFFFF"/>
              </w:rPr>
              <w:t>mitochondrial membrane potential</w:t>
            </w:r>
            <w:r w:rsidRPr="002C7FC2">
              <w:rPr>
                <w:sz w:val="20"/>
                <w:szCs w:val="20"/>
                <w:shd w:val="clear" w:color="auto" w:fill="FFFFFF"/>
              </w:rPr>
              <w:t xml:space="preserve"> </w:t>
            </w:r>
            <w:r w:rsidRPr="002C7FC2">
              <w:rPr>
                <w:rFonts w:eastAsia="Noto Sans SC Black"/>
                <w:sz w:val="20"/>
                <w:szCs w:val="20"/>
                <w:shd w:val="clear" w:color="auto" w:fill="FFFFFF"/>
              </w:rPr>
              <w:t xml:space="preserve">(MMP) </w:t>
            </w:r>
            <w:r w:rsidRPr="002C7FC2">
              <w:rPr>
                <w:sz w:val="20"/>
                <w:szCs w:val="20"/>
              </w:rPr>
              <w:t xml:space="preserve">and anti-apoptotic changes in 50 Fujian Yellow male rabbits over an 8-week period. Semen samples were subjected to CASA, conventional assay kit, SYBR14/PI double staining, PNA-FITC/PI double staining, JC-1 assay kit and PE/7-AAD double staining. Finally, the relative expression levels of </w:t>
            </w:r>
            <w:r w:rsidRPr="002C7FC2">
              <w:rPr>
                <w:i/>
                <w:iCs/>
                <w:sz w:val="20"/>
                <w:szCs w:val="20"/>
              </w:rPr>
              <w:t>NRF-2</w:t>
            </w:r>
            <w:r w:rsidRPr="002C7FC2">
              <w:rPr>
                <w:sz w:val="20"/>
                <w:szCs w:val="20"/>
              </w:rPr>
              <w:t xml:space="preserve">, </w:t>
            </w:r>
            <w:r w:rsidRPr="002C7FC2">
              <w:rPr>
                <w:i/>
                <w:iCs/>
                <w:sz w:val="20"/>
                <w:szCs w:val="20"/>
              </w:rPr>
              <w:t>KEAP-1</w:t>
            </w:r>
            <w:r w:rsidRPr="002C7FC2">
              <w:rPr>
                <w:sz w:val="20"/>
                <w:szCs w:val="20"/>
              </w:rPr>
              <w:t xml:space="preserve">, </w:t>
            </w:r>
            <w:r w:rsidRPr="002C7FC2">
              <w:rPr>
                <w:i/>
                <w:iCs/>
                <w:sz w:val="20"/>
                <w:szCs w:val="20"/>
              </w:rPr>
              <w:t>Bax</w:t>
            </w:r>
            <w:r w:rsidRPr="002C7FC2">
              <w:rPr>
                <w:sz w:val="20"/>
                <w:szCs w:val="20"/>
              </w:rPr>
              <w:t xml:space="preserve">, </w:t>
            </w:r>
            <w:r w:rsidRPr="002C7FC2">
              <w:rPr>
                <w:i/>
                <w:iCs/>
                <w:sz w:val="20"/>
                <w:szCs w:val="20"/>
              </w:rPr>
              <w:t>Bcl-2</w:t>
            </w:r>
            <w:r w:rsidRPr="002C7FC2">
              <w:rPr>
                <w:sz w:val="20"/>
                <w:szCs w:val="20"/>
              </w:rPr>
              <w:t xml:space="preserve">, and </w:t>
            </w:r>
            <w:r w:rsidRPr="002C7FC2">
              <w:rPr>
                <w:i/>
                <w:iCs/>
                <w:sz w:val="20"/>
                <w:szCs w:val="20"/>
              </w:rPr>
              <w:t>caspase-3</w:t>
            </w:r>
            <w:r w:rsidRPr="002C7FC2">
              <w:rPr>
                <w:sz w:val="20"/>
                <w:szCs w:val="20"/>
              </w:rPr>
              <w:t xml:space="preserve"> in sperm were detected using quantitative real-time polymerase chain reaction (</w:t>
            </w:r>
            <w:proofErr w:type="spellStart"/>
            <w:r w:rsidRPr="002C7FC2">
              <w:rPr>
                <w:sz w:val="20"/>
                <w:szCs w:val="20"/>
              </w:rPr>
              <w:t>qRT</w:t>
            </w:r>
            <w:proofErr w:type="spellEnd"/>
            <w:r w:rsidRPr="002C7FC2">
              <w:rPr>
                <w:sz w:val="20"/>
                <w:szCs w:val="20"/>
              </w:rPr>
              <w:t>-PCR). The results showed that dietary supplementation of LC at 300mg/kg increased ejaculate volume, sperm concentration, progressive motility and key sperm kinematic parameters including VCL, VAP and ALH (P&lt;0.05). It concurrently increased seminal plasma antioxidant markers (SOD, GSH-</w:t>
            </w:r>
            <w:proofErr w:type="spellStart"/>
            <w:r w:rsidRPr="002C7FC2">
              <w:rPr>
                <w:sz w:val="20"/>
                <w:szCs w:val="20"/>
              </w:rPr>
              <w:t>Px</w:t>
            </w:r>
            <w:proofErr w:type="spellEnd"/>
            <w:r w:rsidRPr="002C7FC2">
              <w:rPr>
                <w:sz w:val="20"/>
                <w:szCs w:val="20"/>
              </w:rPr>
              <w:t xml:space="preserve">, T-AOC) and LC content and reduced MDA and ROS levels. It also increased SOD, T-AOC and CAT levels in sperm (P&lt;0.05). Supplementation with LC at 150 and 300mg/kg improved sperm acrosomal and plasma membrane integrity (P&lt;0.05), while supplementation at 450mg/kg reduced early and late apoptosis rates (P&lt;0.05). Furthermore, LC supplementation upregulated </w:t>
            </w:r>
            <w:r w:rsidRPr="002C7FC2">
              <w:rPr>
                <w:i/>
                <w:iCs/>
                <w:sz w:val="20"/>
                <w:szCs w:val="20"/>
              </w:rPr>
              <w:t>Bax</w:t>
            </w:r>
            <w:r w:rsidRPr="002C7FC2">
              <w:rPr>
                <w:sz w:val="20"/>
                <w:szCs w:val="20"/>
              </w:rPr>
              <w:t xml:space="preserve"> mRNA expression, downregulated </w:t>
            </w:r>
            <w:r w:rsidRPr="002C7FC2">
              <w:rPr>
                <w:i/>
                <w:iCs/>
                <w:sz w:val="20"/>
                <w:szCs w:val="20"/>
              </w:rPr>
              <w:t>Bcl-2</w:t>
            </w:r>
            <w:r w:rsidRPr="002C7FC2">
              <w:rPr>
                <w:sz w:val="20"/>
                <w:szCs w:val="20"/>
              </w:rPr>
              <w:t xml:space="preserve"> mRNA expression, and reduced the </w:t>
            </w:r>
            <w:r w:rsidRPr="002C7FC2">
              <w:rPr>
                <w:i/>
                <w:iCs/>
                <w:sz w:val="20"/>
                <w:szCs w:val="20"/>
              </w:rPr>
              <w:t>Bcl-2</w:t>
            </w:r>
            <w:r w:rsidRPr="002C7FC2">
              <w:rPr>
                <w:sz w:val="20"/>
                <w:szCs w:val="20"/>
              </w:rPr>
              <w:t>/</w:t>
            </w:r>
            <w:r w:rsidRPr="002C7FC2">
              <w:rPr>
                <w:i/>
                <w:iCs/>
                <w:sz w:val="20"/>
                <w:szCs w:val="20"/>
              </w:rPr>
              <w:t>Bax</w:t>
            </w:r>
            <w:r w:rsidRPr="002C7FC2">
              <w:rPr>
                <w:sz w:val="20"/>
                <w:szCs w:val="20"/>
              </w:rPr>
              <w:t xml:space="preserve"> ratio (P&lt;0.05) without affecting </w:t>
            </w:r>
            <w:r w:rsidRPr="002C7FC2">
              <w:rPr>
                <w:i/>
                <w:iCs/>
                <w:sz w:val="20"/>
                <w:szCs w:val="20"/>
              </w:rPr>
              <w:t>caspase</w:t>
            </w:r>
            <w:r w:rsidRPr="002C7FC2">
              <w:rPr>
                <w:sz w:val="20"/>
                <w:szCs w:val="20"/>
              </w:rPr>
              <w:t xml:space="preserve">-3 expression. Additionally, LC300 specifically increased the expression of </w:t>
            </w:r>
            <w:r w:rsidRPr="002C7FC2">
              <w:rPr>
                <w:i/>
                <w:iCs/>
                <w:sz w:val="20"/>
                <w:szCs w:val="20"/>
              </w:rPr>
              <w:t xml:space="preserve">NRF-2 </w:t>
            </w:r>
            <w:r w:rsidRPr="002C7FC2">
              <w:rPr>
                <w:sz w:val="20"/>
                <w:szCs w:val="20"/>
              </w:rPr>
              <w:t xml:space="preserve">and </w:t>
            </w:r>
            <w:r w:rsidRPr="002C7FC2">
              <w:rPr>
                <w:i/>
                <w:iCs/>
                <w:sz w:val="20"/>
                <w:szCs w:val="20"/>
              </w:rPr>
              <w:t xml:space="preserve">KEAP-1 </w:t>
            </w:r>
            <w:r w:rsidRPr="002C7FC2">
              <w:rPr>
                <w:sz w:val="20"/>
                <w:szCs w:val="20"/>
              </w:rPr>
              <w:t>(P&lt;0.05). Furthermore, LC300 also improved post-thaw sperm progressive motility and velocity parameters including VSL, VAP and ALH (P&lt;0.05). These results suggest that dietary LC supplementation could improve fresh semen quality via antioxidant induction, membrane stabilization and anti-apoptotic effects, and enhanced post-thaw sperm motility.</w:t>
            </w:r>
          </w:p>
          <w:p w14:paraId="5931EC4E" w14:textId="41E75EFA" w:rsidR="00886EA4" w:rsidRPr="00AE34E1" w:rsidRDefault="00886EA4" w:rsidP="00590FD6">
            <w:pPr>
              <w:jc w:val="both"/>
              <w:rPr>
                <w:sz w:val="20"/>
              </w:rPr>
            </w:pPr>
          </w:p>
        </w:tc>
      </w:tr>
      <w:tr w:rsidR="00AE34E1" w:rsidRPr="00AE34E1" w14:paraId="0639BFFA" w14:textId="77777777" w:rsidTr="00261303">
        <w:tc>
          <w:tcPr>
            <w:tcW w:w="2500" w:type="dxa"/>
            <w:gridSpan w:val="2"/>
            <w:tcBorders>
              <w:top w:val="single" w:sz="2" w:space="0" w:color="auto"/>
              <w:bottom w:val="single" w:sz="2" w:space="0" w:color="auto"/>
            </w:tcBorders>
          </w:tcPr>
          <w:p w14:paraId="0F9D15E0" w14:textId="77777777" w:rsidR="004E1AE3" w:rsidRPr="00AE34E1" w:rsidRDefault="004E1AE3" w:rsidP="00841E54">
            <w:pPr>
              <w:ind w:left="-108"/>
              <w:rPr>
                <w:b/>
                <w:sz w:val="20"/>
                <w:szCs w:val="20"/>
              </w:rPr>
            </w:pPr>
            <w:r w:rsidRPr="00AE34E1">
              <w:rPr>
                <w:b/>
                <w:sz w:val="20"/>
                <w:szCs w:val="20"/>
              </w:rPr>
              <w:t xml:space="preserve">Key words: </w:t>
            </w:r>
          </w:p>
          <w:p w14:paraId="2B981FD2" w14:textId="77777777" w:rsidR="006A7DAE" w:rsidRPr="0076298E" w:rsidRDefault="006A7DAE" w:rsidP="00AB0972">
            <w:pPr>
              <w:ind w:left="-108"/>
              <w:rPr>
                <w:sz w:val="20"/>
                <w:szCs w:val="20"/>
              </w:rPr>
            </w:pPr>
            <w:r w:rsidRPr="002C7FC2">
              <w:rPr>
                <w:sz w:val="20"/>
                <w:szCs w:val="20"/>
              </w:rPr>
              <w:t>Antioxidant capacity</w:t>
            </w:r>
          </w:p>
          <w:p w14:paraId="060987B8" w14:textId="77777777" w:rsidR="006A7DAE" w:rsidRDefault="006A7DAE" w:rsidP="00AB0972">
            <w:pPr>
              <w:ind w:left="-108"/>
              <w:rPr>
                <w:sz w:val="20"/>
                <w:szCs w:val="20"/>
              </w:rPr>
            </w:pPr>
            <w:r w:rsidRPr="002C7FC2">
              <w:rPr>
                <w:sz w:val="20"/>
                <w:szCs w:val="20"/>
              </w:rPr>
              <w:t>L-carnitine</w:t>
            </w:r>
          </w:p>
          <w:p w14:paraId="36A85BCF" w14:textId="77777777" w:rsidR="006A7DAE" w:rsidRDefault="006A7DAE" w:rsidP="00AB0972">
            <w:pPr>
              <w:ind w:left="-108"/>
              <w:rPr>
                <w:sz w:val="20"/>
                <w:szCs w:val="20"/>
              </w:rPr>
            </w:pPr>
            <w:r w:rsidRPr="002C7FC2">
              <w:rPr>
                <w:sz w:val="20"/>
                <w:szCs w:val="20"/>
              </w:rPr>
              <w:t>Oxidative stress</w:t>
            </w:r>
          </w:p>
          <w:p w14:paraId="73D6F65A" w14:textId="77777777" w:rsidR="006A7DAE" w:rsidRDefault="006A7DAE" w:rsidP="00AB0972">
            <w:pPr>
              <w:ind w:left="-108"/>
              <w:rPr>
                <w:sz w:val="20"/>
                <w:szCs w:val="20"/>
              </w:rPr>
            </w:pPr>
            <w:r w:rsidRPr="002C7FC2">
              <w:rPr>
                <w:sz w:val="20"/>
                <w:szCs w:val="20"/>
              </w:rPr>
              <w:t>Rabbit</w:t>
            </w:r>
          </w:p>
          <w:p w14:paraId="185CEE65" w14:textId="18B5D8F4" w:rsidR="004E1AE3" w:rsidRPr="0076298E" w:rsidRDefault="006A7DAE" w:rsidP="00AB0972">
            <w:pPr>
              <w:ind w:left="-108"/>
              <w:rPr>
                <w:sz w:val="20"/>
                <w:szCs w:val="20"/>
              </w:rPr>
            </w:pPr>
            <w:r w:rsidRPr="002C7FC2">
              <w:rPr>
                <w:sz w:val="20"/>
                <w:szCs w:val="20"/>
              </w:rPr>
              <w:t>Semen quality</w:t>
            </w:r>
          </w:p>
        </w:tc>
        <w:tc>
          <w:tcPr>
            <w:tcW w:w="236" w:type="dxa"/>
            <w:tcBorders>
              <w:left w:val="nil"/>
              <w:bottom w:val="single" w:sz="2" w:space="0" w:color="auto"/>
            </w:tcBorders>
          </w:tcPr>
          <w:p w14:paraId="40325F20" w14:textId="77777777" w:rsidR="004E1AE3" w:rsidRPr="00AE34E1" w:rsidRDefault="004E1AE3" w:rsidP="00B96FFB">
            <w:pPr>
              <w:jc w:val="both"/>
              <w:rPr>
                <w:sz w:val="20"/>
              </w:rPr>
            </w:pPr>
          </w:p>
        </w:tc>
        <w:tc>
          <w:tcPr>
            <w:tcW w:w="6984" w:type="dxa"/>
            <w:vMerge/>
            <w:tcBorders>
              <w:bottom w:val="single" w:sz="2" w:space="0" w:color="auto"/>
            </w:tcBorders>
          </w:tcPr>
          <w:p w14:paraId="67781E92" w14:textId="77777777" w:rsidR="004E1AE3" w:rsidRPr="00AE34E1" w:rsidRDefault="004E1AE3" w:rsidP="00B96FFB">
            <w:pPr>
              <w:jc w:val="both"/>
              <w:rPr>
                <w:sz w:val="20"/>
              </w:rPr>
            </w:pPr>
          </w:p>
        </w:tc>
      </w:tr>
      <w:tr w:rsidR="004E1AE3" w:rsidRPr="00AE34E1" w14:paraId="75DEA328" w14:textId="77777777" w:rsidTr="00261303">
        <w:tc>
          <w:tcPr>
            <w:tcW w:w="9720" w:type="dxa"/>
            <w:gridSpan w:val="4"/>
            <w:tcBorders>
              <w:top w:val="single" w:sz="2" w:space="0" w:color="auto"/>
              <w:bottom w:val="single" w:sz="2" w:space="0" w:color="auto"/>
            </w:tcBorders>
          </w:tcPr>
          <w:p w14:paraId="708693BD" w14:textId="6766E314" w:rsidR="004E1AE3" w:rsidRPr="00AE34E1" w:rsidRDefault="004E1AE3" w:rsidP="004E1701">
            <w:pPr>
              <w:jc w:val="both"/>
              <w:rPr>
                <w:sz w:val="20"/>
              </w:rPr>
            </w:pPr>
            <w:r w:rsidRPr="00AE34E1">
              <w:rPr>
                <w:b/>
                <w:sz w:val="20"/>
                <w:szCs w:val="20"/>
              </w:rPr>
              <w:t xml:space="preserve">To Cite This Article: </w:t>
            </w:r>
            <w:proofErr w:type="spellStart"/>
            <w:r w:rsidR="006A7DAE" w:rsidRPr="002C7FC2">
              <w:rPr>
                <w:sz w:val="20"/>
                <w:szCs w:val="20"/>
                <w:lang w:bidi="ar"/>
              </w:rPr>
              <w:t>Gaoa</w:t>
            </w:r>
            <w:proofErr w:type="spellEnd"/>
            <w:r w:rsidR="006A7DAE">
              <w:rPr>
                <w:sz w:val="20"/>
                <w:szCs w:val="20"/>
                <w:lang w:bidi="ar"/>
              </w:rPr>
              <w:t xml:space="preserve"> C</w:t>
            </w:r>
            <w:r w:rsidR="006A7DAE" w:rsidRPr="002C7FC2">
              <w:rPr>
                <w:sz w:val="20"/>
                <w:szCs w:val="20"/>
                <w:lang w:bidi="ar"/>
              </w:rPr>
              <w:t xml:space="preserve">, </w:t>
            </w:r>
            <w:proofErr w:type="spellStart"/>
            <w:r w:rsidR="006A7DAE" w:rsidRPr="00C62FFF">
              <w:rPr>
                <w:color w:val="2E74B5" w:themeColor="accent1" w:themeShade="BF"/>
                <w:sz w:val="20"/>
                <w:szCs w:val="20"/>
                <w:lang w:bidi="ar"/>
              </w:rPr>
              <w:t>Liu</w:t>
            </w:r>
            <w:r w:rsidR="006A7DAE" w:rsidRPr="002C7FC2">
              <w:rPr>
                <w:sz w:val="20"/>
                <w:szCs w:val="20"/>
                <w:lang w:bidi="ar"/>
              </w:rPr>
              <w:t>a</w:t>
            </w:r>
            <w:proofErr w:type="spellEnd"/>
            <w:r w:rsidR="006A7DAE">
              <w:rPr>
                <w:sz w:val="20"/>
                <w:szCs w:val="20"/>
                <w:lang w:bidi="ar"/>
              </w:rPr>
              <w:t xml:space="preserve"> M</w:t>
            </w:r>
            <w:r w:rsidR="006A7DAE" w:rsidRPr="002C7FC2">
              <w:rPr>
                <w:sz w:val="20"/>
                <w:szCs w:val="20"/>
                <w:lang w:bidi="ar"/>
              </w:rPr>
              <w:t>, Bai</w:t>
            </w:r>
            <w:r w:rsidR="006A7DAE">
              <w:rPr>
                <w:sz w:val="20"/>
                <w:szCs w:val="20"/>
                <w:lang w:bidi="ar"/>
              </w:rPr>
              <w:t xml:space="preserve"> L</w:t>
            </w:r>
            <w:r w:rsidR="006A7DAE" w:rsidRPr="002C7FC2">
              <w:rPr>
                <w:sz w:val="20"/>
                <w:szCs w:val="20"/>
                <w:lang w:bidi="ar"/>
              </w:rPr>
              <w:t>, Lan</w:t>
            </w:r>
            <w:r w:rsidR="006A7DAE">
              <w:rPr>
                <w:sz w:val="20"/>
                <w:szCs w:val="20"/>
                <w:lang w:bidi="ar"/>
              </w:rPr>
              <w:t xml:space="preserve"> Y</w:t>
            </w:r>
            <w:r w:rsidR="006A7DAE" w:rsidRPr="002C7FC2">
              <w:rPr>
                <w:sz w:val="20"/>
                <w:szCs w:val="20"/>
                <w:lang w:bidi="ar"/>
              </w:rPr>
              <w:t>, Sun</w:t>
            </w:r>
            <w:r w:rsidR="006A7DAE">
              <w:rPr>
                <w:sz w:val="20"/>
                <w:szCs w:val="20"/>
                <w:lang w:bidi="ar"/>
              </w:rPr>
              <w:t xml:space="preserve"> S</w:t>
            </w:r>
            <w:r w:rsidR="006A7DAE" w:rsidRPr="002C7FC2">
              <w:rPr>
                <w:sz w:val="20"/>
                <w:szCs w:val="20"/>
                <w:lang w:bidi="ar"/>
              </w:rPr>
              <w:t>, Chen</w:t>
            </w:r>
            <w:r w:rsidR="006A7DAE">
              <w:rPr>
                <w:sz w:val="20"/>
                <w:szCs w:val="20"/>
                <w:lang w:bidi="ar"/>
              </w:rPr>
              <w:t xml:space="preserve"> D</w:t>
            </w:r>
            <w:r w:rsidR="006A7DAE" w:rsidRPr="002C7FC2">
              <w:rPr>
                <w:sz w:val="20"/>
                <w:szCs w:val="20"/>
                <w:lang w:bidi="ar"/>
              </w:rPr>
              <w:t xml:space="preserve">, </w:t>
            </w:r>
            <w:r w:rsidR="006A7DAE" w:rsidRPr="005F3854">
              <w:rPr>
                <w:color w:val="2E74B5" w:themeColor="accent1" w:themeShade="BF"/>
                <w:sz w:val="20"/>
                <w:szCs w:val="20"/>
                <w:lang w:bidi="ar"/>
              </w:rPr>
              <w:t>Wang</w:t>
            </w:r>
            <w:r w:rsidR="006A7DAE">
              <w:rPr>
                <w:sz w:val="20"/>
                <w:szCs w:val="20"/>
                <w:lang w:bidi="ar"/>
              </w:rPr>
              <w:t xml:space="preserve"> J</w:t>
            </w:r>
            <w:r w:rsidR="006A7DAE" w:rsidRPr="002C7FC2">
              <w:rPr>
                <w:sz w:val="20"/>
                <w:szCs w:val="20"/>
                <w:lang w:bidi="ar"/>
              </w:rPr>
              <w:t>, Xie</w:t>
            </w:r>
            <w:r w:rsidR="006A7DAE">
              <w:rPr>
                <w:sz w:val="20"/>
                <w:szCs w:val="20"/>
                <w:lang w:bidi="ar"/>
              </w:rPr>
              <w:t xml:space="preserve"> X </w:t>
            </w:r>
            <w:r w:rsidR="006A7DAE" w:rsidRPr="002C7FC2">
              <w:rPr>
                <w:sz w:val="20"/>
                <w:szCs w:val="20"/>
                <w:lang w:bidi="ar"/>
              </w:rPr>
              <w:t>and Sang</w:t>
            </w:r>
            <w:r w:rsidR="006A7DAE">
              <w:rPr>
                <w:sz w:val="20"/>
                <w:szCs w:val="20"/>
                <w:lang w:bidi="ar"/>
              </w:rPr>
              <w:t xml:space="preserve"> L</w:t>
            </w:r>
            <w:r w:rsidR="006A7DAE" w:rsidRPr="002C7FC2">
              <w:rPr>
                <w:sz w:val="20"/>
                <w:szCs w:val="20"/>
                <w:lang w:bidi="ar"/>
              </w:rPr>
              <w:t>*</w:t>
            </w:r>
            <w:r w:rsidRPr="00AE34E1">
              <w:rPr>
                <w:sz w:val="20"/>
                <w:szCs w:val="20"/>
              </w:rPr>
              <w:t xml:space="preserve"> </w:t>
            </w:r>
            <w:r w:rsidR="0037458F">
              <w:rPr>
                <w:sz w:val="20"/>
                <w:szCs w:val="20"/>
              </w:rPr>
              <w:t>202</w:t>
            </w:r>
            <w:r w:rsidR="00F7525F">
              <w:rPr>
                <w:sz w:val="20"/>
                <w:szCs w:val="20"/>
              </w:rPr>
              <w:t>5</w:t>
            </w:r>
            <w:r w:rsidRPr="00AE34E1">
              <w:rPr>
                <w:sz w:val="20"/>
                <w:szCs w:val="20"/>
              </w:rPr>
              <w:t xml:space="preserve">. </w:t>
            </w:r>
            <w:r w:rsidR="006A7DAE" w:rsidRPr="006A7DAE">
              <w:rPr>
                <w:sz w:val="20"/>
                <w:szCs w:val="20"/>
                <w:lang w:bidi="ar"/>
              </w:rPr>
              <w:t>Effect of dietary l-carnitine supplementation on fresh semen characteristics and post-thaw sperm quality in male rabbits</w:t>
            </w:r>
            <w:r w:rsidRPr="00AE34E1">
              <w:rPr>
                <w:sz w:val="20"/>
                <w:szCs w:val="20"/>
              </w:rPr>
              <w:t xml:space="preserve">. </w:t>
            </w:r>
            <w:r w:rsidR="0076404F" w:rsidRPr="005363A7">
              <w:rPr>
                <w:sz w:val="20"/>
                <w:szCs w:val="20"/>
              </w:rPr>
              <w:t>Pak Vet J. http://dx.doi.org/10.29261/pakvetj/20</w:t>
            </w:r>
            <w:r w:rsidR="00681D92">
              <w:rPr>
                <w:sz w:val="20"/>
                <w:szCs w:val="20"/>
              </w:rPr>
              <w:t>2</w:t>
            </w:r>
            <w:r w:rsidR="00F7525F">
              <w:rPr>
                <w:sz w:val="20"/>
                <w:szCs w:val="20"/>
              </w:rPr>
              <w:t>5</w:t>
            </w:r>
            <w:r w:rsidR="0076404F" w:rsidRPr="005363A7">
              <w:rPr>
                <w:sz w:val="20"/>
                <w:szCs w:val="20"/>
              </w:rPr>
              <w:t>.</w:t>
            </w:r>
            <w:r w:rsidR="00CF3E34" w:rsidRPr="00CF3E34">
              <w:rPr>
                <w:color w:val="FF0000"/>
                <w:sz w:val="20"/>
                <w:szCs w:val="20"/>
              </w:rPr>
              <w:t>xxx</w:t>
            </w:r>
          </w:p>
        </w:tc>
      </w:tr>
    </w:tbl>
    <w:p w14:paraId="79262C24" w14:textId="77777777" w:rsidR="004E1AE3" w:rsidRPr="00AE34E1" w:rsidRDefault="004E1AE3" w:rsidP="004E1AE3">
      <w:pPr>
        <w:rPr>
          <w:sz w:val="20"/>
        </w:rPr>
      </w:pPr>
    </w:p>
    <w:p w14:paraId="48784F99" w14:textId="77777777" w:rsidR="004E1AE3" w:rsidRPr="00AE34E1" w:rsidRDefault="004E1AE3" w:rsidP="004E1AE3">
      <w:pPr>
        <w:jc w:val="center"/>
        <w:rPr>
          <w:b/>
          <w:bCs/>
          <w:sz w:val="20"/>
          <w:szCs w:val="20"/>
        </w:rPr>
        <w:sectPr w:rsidR="004E1AE3" w:rsidRPr="00AE34E1" w:rsidSect="00B96FFB">
          <w:headerReference w:type="even" r:id="rId8"/>
          <w:headerReference w:type="default" r:id="rId9"/>
          <w:footerReference w:type="first" r:id="rId10"/>
          <w:pgSz w:w="11909" w:h="16834" w:code="9"/>
          <w:pgMar w:top="1080" w:right="1080" w:bottom="1080" w:left="1080" w:header="720" w:footer="720" w:gutter="0"/>
          <w:pgNumType w:start="1"/>
          <w:cols w:space="720"/>
          <w:titlePg/>
          <w:docGrid w:linePitch="360"/>
        </w:sectPr>
      </w:pPr>
    </w:p>
    <w:p w14:paraId="4A92776C" w14:textId="77777777" w:rsidR="004E1AE3" w:rsidRPr="00AE34E1" w:rsidRDefault="004E1AE3" w:rsidP="001138DC">
      <w:pPr>
        <w:jc w:val="center"/>
        <w:rPr>
          <w:b/>
          <w:bCs/>
          <w:sz w:val="20"/>
          <w:szCs w:val="20"/>
        </w:rPr>
      </w:pPr>
      <w:r w:rsidRPr="00AE34E1">
        <w:rPr>
          <w:b/>
          <w:bCs/>
          <w:sz w:val="20"/>
          <w:szCs w:val="20"/>
        </w:rPr>
        <w:lastRenderedPageBreak/>
        <w:t>INTRODUCTION</w:t>
      </w:r>
    </w:p>
    <w:p w14:paraId="6FFC5814" w14:textId="77777777" w:rsidR="003531D6" w:rsidRPr="00AE34E1" w:rsidRDefault="003531D6" w:rsidP="001138DC">
      <w:pPr>
        <w:jc w:val="center"/>
        <w:rPr>
          <w:b/>
          <w:bCs/>
          <w:sz w:val="20"/>
          <w:szCs w:val="20"/>
        </w:rPr>
      </w:pPr>
    </w:p>
    <w:p w14:paraId="2C7C1568" w14:textId="77777777" w:rsidR="006A7DAE" w:rsidRPr="0033316B" w:rsidRDefault="006A7DAE" w:rsidP="006A7DAE">
      <w:pPr>
        <w:adjustRightInd w:val="0"/>
        <w:snapToGrid w:val="0"/>
        <w:ind w:firstLineChars="180" w:firstLine="356"/>
        <w:jc w:val="both"/>
        <w:rPr>
          <w:spacing w:val="-2"/>
          <w:sz w:val="20"/>
          <w:szCs w:val="20"/>
        </w:rPr>
      </w:pPr>
      <w:r w:rsidRPr="0033316B">
        <w:rPr>
          <w:rFonts w:eastAsia="Segoe UI"/>
          <w:spacing w:val="-2"/>
          <w:sz w:val="20"/>
          <w:szCs w:val="20"/>
          <w:shd w:val="clear" w:color="auto" w:fill="FFFFFF"/>
        </w:rPr>
        <w:t>Despite its high production efficiency, feed conversion rate and superior meat quality, global rabbit production is largely based on small-scale and un-intensive</w:t>
      </w:r>
      <w:r w:rsidRPr="0033316B">
        <w:rPr>
          <w:spacing w:val="-2"/>
          <w:sz w:val="20"/>
          <w:szCs w:val="20"/>
          <w:shd w:val="clear" w:color="auto" w:fill="FFFFFF"/>
        </w:rPr>
        <w:t xml:space="preserve"> (</w:t>
      </w:r>
      <w:proofErr w:type="spellStart"/>
      <w:r w:rsidRPr="00C62FFF">
        <w:rPr>
          <w:color w:val="2E74B5" w:themeColor="accent1" w:themeShade="BF"/>
          <w:spacing w:val="-2"/>
          <w:sz w:val="20"/>
          <w:szCs w:val="20"/>
          <w:shd w:val="clear" w:color="auto" w:fill="FFFFFF"/>
        </w:rPr>
        <w:t>Cullere</w:t>
      </w:r>
      <w:proofErr w:type="spellEnd"/>
      <w:r w:rsidRPr="0033316B">
        <w:rPr>
          <w:spacing w:val="-2"/>
          <w:sz w:val="20"/>
          <w:szCs w:val="20"/>
          <w:shd w:val="clear" w:color="auto" w:fill="FFFFFF"/>
        </w:rPr>
        <w:t xml:space="preserve"> and </w:t>
      </w:r>
      <w:proofErr w:type="spellStart"/>
      <w:r w:rsidRPr="0033316B">
        <w:rPr>
          <w:spacing w:val="-2"/>
          <w:sz w:val="20"/>
          <w:szCs w:val="20"/>
          <w:shd w:val="clear" w:color="auto" w:fill="FFFFFF"/>
        </w:rPr>
        <w:t>Zotte</w:t>
      </w:r>
      <w:proofErr w:type="spellEnd"/>
      <w:r w:rsidRPr="0033316B">
        <w:rPr>
          <w:spacing w:val="-2"/>
          <w:sz w:val="20"/>
          <w:szCs w:val="20"/>
          <w:shd w:val="clear" w:color="auto" w:fill="FFFFFF"/>
        </w:rPr>
        <w:t xml:space="preserve">, 2018). To accelerate the pace of intensive production, the rapid development and application of artificial insemination technology is necessary. </w:t>
      </w:r>
      <w:r w:rsidRPr="0033316B">
        <w:rPr>
          <w:spacing w:val="-2"/>
          <w:sz w:val="20"/>
          <w:szCs w:val="20"/>
        </w:rPr>
        <w:t>Semen quality</w:t>
      </w:r>
      <w:r w:rsidRPr="0033316B">
        <w:rPr>
          <w:rStyle w:val="CommentReference"/>
          <w:spacing w:val="-2"/>
          <w:sz w:val="20"/>
          <w:szCs w:val="20"/>
        </w:rPr>
        <w:t xml:space="preserve"> </w:t>
      </w:r>
      <w:r w:rsidRPr="0033316B">
        <w:rPr>
          <w:spacing w:val="-2"/>
          <w:sz w:val="20"/>
          <w:szCs w:val="20"/>
        </w:rPr>
        <w:t xml:space="preserve">is </w:t>
      </w:r>
      <w:r w:rsidRPr="0033316B">
        <w:rPr>
          <w:spacing w:val="-2"/>
          <w:sz w:val="20"/>
          <w:szCs w:val="20"/>
        </w:rPr>
        <w:lastRenderedPageBreak/>
        <w:t>critical to artificial insemination success in commercial rabbit production (</w:t>
      </w:r>
      <w:r w:rsidRPr="00C62FFF">
        <w:rPr>
          <w:color w:val="2E74B5" w:themeColor="accent1" w:themeShade="BF"/>
          <w:spacing w:val="-2"/>
          <w:sz w:val="20"/>
          <w:szCs w:val="20"/>
        </w:rPr>
        <w:t>Farhadi</w:t>
      </w:r>
      <w:r w:rsidRPr="0033316B">
        <w:rPr>
          <w:spacing w:val="-2"/>
          <w:sz w:val="20"/>
          <w:szCs w:val="20"/>
        </w:rPr>
        <w:t xml:space="preserve"> </w:t>
      </w:r>
      <w:r w:rsidRPr="0033316B">
        <w:rPr>
          <w:i/>
          <w:iCs/>
          <w:spacing w:val="-2"/>
          <w:sz w:val="20"/>
          <w:szCs w:val="20"/>
        </w:rPr>
        <w:t>et al.</w:t>
      </w:r>
      <w:r w:rsidRPr="0033316B">
        <w:rPr>
          <w:spacing w:val="-2"/>
          <w:sz w:val="20"/>
          <w:szCs w:val="20"/>
        </w:rPr>
        <w:t>, 2025). However, male rabbit spermatozoa exhibit particular vulnerability to oxidative stress (OS) owing to their limited cytoplasmic antioxidant reserves and inefficient DNA repair mechanisms, which collectively contribute to cellular damage and diminished fertilizing capacity (</w:t>
      </w:r>
      <w:proofErr w:type="spellStart"/>
      <w:r w:rsidRPr="00C62FFF">
        <w:rPr>
          <w:color w:val="2E74B5" w:themeColor="accent1" w:themeShade="BF"/>
          <w:spacing w:val="-2"/>
          <w:sz w:val="20"/>
          <w:szCs w:val="20"/>
        </w:rPr>
        <w:t>Brecchia</w:t>
      </w:r>
      <w:proofErr w:type="spellEnd"/>
      <w:r w:rsidRPr="0033316B">
        <w:rPr>
          <w:spacing w:val="-2"/>
          <w:sz w:val="20"/>
          <w:szCs w:val="20"/>
        </w:rPr>
        <w:t xml:space="preserve"> </w:t>
      </w:r>
      <w:r w:rsidRPr="0033316B">
        <w:rPr>
          <w:i/>
          <w:iCs/>
          <w:spacing w:val="-2"/>
          <w:sz w:val="20"/>
          <w:szCs w:val="20"/>
        </w:rPr>
        <w:t>et al.</w:t>
      </w:r>
      <w:r w:rsidRPr="0033316B">
        <w:rPr>
          <w:spacing w:val="-2"/>
          <w:sz w:val="20"/>
          <w:szCs w:val="20"/>
        </w:rPr>
        <w:t xml:space="preserve">, 2023). This susceptibility, compounded by high </w:t>
      </w:r>
      <w:r w:rsidRPr="0033316B">
        <w:rPr>
          <w:spacing w:val="-2"/>
          <w:sz w:val="20"/>
          <w:szCs w:val="20"/>
        </w:rPr>
        <w:lastRenderedPageBreak/>
        <w:t>polyunsaturated fatty acid (PUFA) contents in sperm plasma membranes (</w:t>
      </w:r>
      <w:r w:rsidRPr="00C62FFF">
        <w:rPr>
          <w:color w:val="2E74B5" w:themeColor="accent1" w:themeShade="BF"/>
          <w:spacing w:val="-2"/>
          <w:sz w:val="20"/>
          <w:szCs w:val="20"/>
        </w:rPr>
        <w:t>Di Nisio</w:t>
      </w:r>
      <w:r w:rsidRPr="0033316B">
        <w:rPr>
          <w:spacing w:val="-2"/>
          <w:sz w:val="20"/>
          <w:szCs w:val="20"/>
        </w:rPr>
        <w:t xml:space="preserve"> </w:t>
      </w:r>
      <w:r w:rsidRPr="0033316B">
        <w:rPr>
          <w:i/>
          <w:iCs/>
          <w:spacing w:val="-2"/>
          <w:sz w:val="20"/>
          <w:szCs w:val="20"/>
        </w:rPr>
        <w:t>et al.</w:t>
      </w:r>
      <w:r w:rsidRPr="0033316B">
        <w:rPr>
          <w:spacing w:val="-2"/>
          <w:sz w:val="20"/>
          <w:szCs w:val="20"/>
        </w:rPr>
        <w:t>, 2023), leads to lipid peroxidation (LPO), which compromises membrane integrity, results in ATP leakage, and impairs flagellar motility, ultimately leading to impaired sperm function (</w:t>
      </w:r>
      <w:r w:rsidRPr="00C62FFF">
        <w:rPr>
          <w:color w:val="2E74B5" w:themeColor="accent1" w:themeShade="BF"/>
          <w:spacing w:val="-2"/>
          <w:sz w:val="20"/>
          <w:szCs w:val="20"/>
        </w:rPr>
        <w:t>Ofosu</w:t>
      </w:r>
      <w:r w:rsidRPr="0033316B">
        <w:rPr>
          <w:spacing w:val="-2"/>
          <w:sz w:val="20"/>
          <w:szCs w:val="20"/>
        </w:rPr>
        <w:t xml:space="preserve"> </w:t>
      </w:r>
      <w:r w:rsidRPr="0033316B">
        <w:rPr>
          <w:i/>
          <w:iCs/>
          <w:spacing w:val="-2"/>
          <w:sz w:val="20"/>
          <w:szCs w:val="20"/>
        </w:rPr>
        <w:t>et al.</w:t>
      </w:r>
      <w:r w:rsidRPr="0033316B">
        <w:rPr>
          <w:spacing w:val="-2"/>
          <w:sz w:val="20"/>
          <w:szCs w:val="20"/>
        </w:rPr>
        <w:t>, 2021). Substantial evidence from multiple studies confirms the profoundly negative effect of oxidative stress on both semen quality and fertility potential (</w:t>
      </w:r>
      <w:r w:rsidRPr="00C62FFF">
        <w:rPr>
          <w:color w:val="2E74B5" w:themeColor="accent1" w:themeShade="BF"/>
          <w:spacing w:val="-2"/>
          <w:sz w:val="20"/>
          <w:szCs w:val="20"/>
        </w:rPr>
        <w:t>Makris</w:t>
      </w:r>
      <w:r w:rsidRPr="0033316B">
        <w:rPr>
          <w:spacing w:val="-2"/>
          <w:sz w:val="20"/>
          <w:szCs w:val="20"/>
        </w:rPr>
        <w:t xml:space="preserve"> </w:t>
      </w:r>
      <w:r w:rsidRPr="0033316B">
        <w:rPr>
          <w:i/>
          <w:iCs/>
          <w:spacing w:val="-2"/>
          <w:sz w:val="20"/>
          <w:szCs w:val="20"/>
        </w:rPr>
        <w:t>et al.</w:t>
      </w:r>
      <w:r w:rsidRPr="0033316B">
        <w:rPr>
          <w:spacing w:val="-2"/>
          <w:sz w:val="20"/>
          <w:szCs w:val="20"/>
        </w:rPr>
        <w:t xml:space="preserve">, 2023; </w:t>
      </w:r>
      <w:r w:rsidRPr="00C62FFF">
        <w:rPr>
          <w:color w:val="2E74B5" w:themeColor="accent1" w:themeShade="BF"/>
          <w:spacing w:val="-2"/>
          <w:sz w:val="20"/>
          <w:szCs w:val="20"/>
        </w:rPr>
        <w:t>Abdelnour</w:t>
      </w:r>
      <w:r w:rsidRPr="0033316B">
        <w:rPr>
          <w:spacing w:val="-2"/>
          <w:sz w:val="20"/>
          <w:szCs w:val="20"/>
        </w:rPr>
        <w:t xml:space="preserve"> </w:t>
      </w:r>
      <w:r w:rsidRPr="0033316B">
        <w:rPr>
          <w:i/>
          <w:iCs/>
          <w:spacing w:val="-2"/>
          <w:sz w:val="20"/>
          <w:szCs w:val="20"/>
        </w:rPr>
        <w:t>et al.</w:t>
      </w:r>
      <w:r w:rsidRPr="0033316B">
        <w:rPr>
          <w:spacing w:val="-2"/>
          <w:sz w:val="20"/>
          <w:szCs w:val="20"/>
        </w:rPr>
        <w:t xml:space="preserve">, 2024; </w:t>
      </w:r>
      <w:proofErr w:type="spellStart"/>
      <w:r w:rsidRPr="00C62FFF">
        <w:rPr>
          <w:color w:val="2E74B5" w:themeColor="accent1" w:themeShade="BF"/>
          <w:spacing w:val="-2"/>
          <w:sz w:val="20"/>
          <w:szCs w:val="20"/>
        </w:rPr>
        <w:t>Lahimer</w:t>
      </w:r>
      <w:proofErr w:type="spellEnd"/>
      <w:r w:rsidRPr="0033316B">
        <w:rPr>
          <w:spacing w:val="-2"/>
          <w:sz w:val="20"/>
          <w:szCs w:val="20"/>
        </w:rPr>
        <w:t xml:space="preserve"> </w:t>
      </w:r>
      <w:r w:rsidRPr="0033316B">
        <w:rPr>
          <w:i/>
          <w:iCs/>
          <w:spacing w:val="-2"/>
          <w:sz w:val="20"/>
          <w:szCs w:val="20"/>
        </w:rPr>
        <w:t>et al.</w:t>
      </w:r>
      <w:r w:rsidRPr="0033316B">
        <w:rPr>
          <w:spacing w:val="-2"/>
          <w:sz w:val="20"/>
          <w:szCs w:val="20"/>
        </w:rPr>
        <w:t>, 2025) with elevated reactive oxygen species (ROS) levels in reproductive tissues showing strong correlation with reduced sperm viability, motility, and fertilization capacity (</w:t>
      </w:r>
      <w:r w:rsidRPr="00C62FFF">
        <w:rPr>
          <w:color w:val="2E74B5" w:themeColor="accent1" w:themeShade="BF"/>
          <w:spacing w:val="-2"/>
          <w:sz w:val="20"/>
          <w:szCs w:val="20"/>
        </w:rPr>
        <w:t>O'Flaherty</w:t>
      </w:r>
      <w:r w:rsidRPr="0033316B">
        <w:rPr>
          <w:spacing w:val="-2"/>
          <w:sz w:val="20"/>
          <w:szCs w:val="20"/>
        </w:rPr>
        <w:t xml:space="preserve"> and Scarlata, 2022; </w:t>
      </w:r>
      <w:r w:rsidRPr="005F3854">
        <w:rPr>
          <w:color w:val="2E74B5" w:themeColor="accent1" w:themeShade="BF"/>
          <w:spacing w:val="-2"/>
          <w:sz w:val="20"/>
          <w:szCs w:val="20"/>
        </w:rPr>
        <w:t>Wang</w:t>
      </w:r>
      <w:r w:rsidRPr="0033316B">
        <w:rPr>
          <w:spacing w:val="-2"/>
          <w:sz w:val="20"/>
          <w:szCs w:val="20"/>
        </w:rPr>
        <w:t xml:space="preserve"> </w:t>
      </w:r>
      <w:r w:rsidRPr="0033316B">
        <w:rPr>
          <w:i/>
          <w:iCs/>
          <w:spacing w:val="-2"/>
          <w:sz w:val="20"/>
          <w:szCs w:val="20"/>
        </w:rPr>
        <w:t>et al.</w:t>
      </w:r>
      <w:r w:rsidRPr="0033316B">
        <w:rPr>
          <w:spacing w:val="-2"/>
          <w:sz w:val="20"/>
          <w:szCs w:val="20"/>
        </w:rPr>
        <w:t>, 2025).</w:t>
      </w:r>
    </w:p>
    <w:p w14:paraId="2F4E0B87" w14:textId="77777777" w:rsidR="006A7DAE" w:rsidRPr="002C7FC2" w:rsidRDefault="006A7DAE" w:rsidP="006A7DAE">
      <w:pPr>
        <w:adjustRightInd w:val="0"/>
        <w:snapToGrid w:val="0"/>
        <w:ind w:firstLineChars="180" w:firstLine="360"/>
        <w:jc w:val="both"/>
        <w:rPr>
          <w:sz w:val="20"/>
          <w:szCs w:val="20"/>
        </w:rPr>
      </w:pPr>
      <w:bookmarkStart w:id="1" w:name="OLE_LINK2"/>
      <w:r w:rsidRPr="002C7FC2">
        <w:rPr>
          <w:sz w:val="20"/>
          <w:szCs w:val="20"/>
        </w:rPr>
        <w:t>L-carnitine</w:t>
      </w:r>
      <w:bookmarkEnd w:id="1"/>
      <w:r w:rsidRPr="002C7FC2">
        <w:rPr>
          <w:sz w:val="20"/>
          <w:szCs w:val="20"/>
        </w:rPr>
        <w:t xml:space="preserve"> (LC), an amino acid derivative and essential metabolic cofactor, addresses these challenges through multiple protective mechanisms. As a crucial transporter of long-chain fatty acids into mitochondria (</w:t>
      </w:r>
      <w:r w:rsidRPr="00C62FFF">
        <w:rPr>
          <w:color w:val="2E74B5" w:themeColor="accent1" w:themeShade="BF"/>
          <w:sz w:val="20"/>
          <w:szCs w:val="20"/>
        </w:rPr>
        <w:t>Vaz</w:t>
      </w:r>
      <w:r w:rsidRPr="002C7FC2">
        <w:rPr>
          <w:sz w:val="20"/>
          <w:szCs w:val="20"/>
        </w:rPr>
        <w:t xml:space="preserve"> </w:t>
      </w:r>
      <w:r w:rsidRPr="002C7FC2">
        <w:rPr>
          <w:i/>
          <w:iCs/>
          <w:sz w:val="20"/>
          <w:szCs w:val="20"/>
        </w:rPr>
        <w:t>et al.</w:t>
      </w:r>
      <w:r w:rsidRPr="002C7FC2">
        <w:rPr>
          <w:sz w:val="20"/>
          <w:szCs w:val="20"/>
        </w:rPr>
        <w:t>, 2002), LC not only supports energy metabolism but also reduces LPO substrate availability, thereby functioning as an effective antioxidant (</w:t>
      </w:r>
      <w:r w:rsidRPr="00C62FFF">
        <w:rPr>
          <w:color w:val="2E74B5" w:themeColor="accent1" w:themeShade="BF"/>
          <w:sz w:val="20"/>
          <w:szCs w:val="20"/>
        </w:rPr>
        <w:t>Neuman</w:t>
      </w:r>
      <w:r w:rsidRPr="002C7FC2">
        <w:rPr>
          <w:sz w:val="20"/>
          <w:szCs w:val="20"/>
        </w:rPr>
        <w:t xml:space="preserve"> </w:t>
      </w:r>
      <w:r w:rsidRPr="002C7FC2">
        <w:rPr>
          <w:i/>
          <w:iCs/>
          <w:sz w:val="20"/>
          <w:szCs w:val="20"/>
        </w:rPr>
        <w:t>et al.</w:t>
      </w:r>
      <w:r w:rsidRPr="002C7FC2">
        <w:rPr>
          <w:sz w:val="20"/>
          <w:szCs w:val="20"/>
        </w:rPr>
        <w:t>, 2002). Its importance in male reproduction is well-established, with seminal LC levels directly correlating with sperm quality (</w:t>
      </w:r>
      <w:r w:rsidRPr="00C62FFF">
        <w:rPr>
          <w:color w:val="2E74B5" w:themeColor="accent1" w:themeShade="BF"/>
          <w:sz w:val="20"/>
          <w:szCs w:val="20"/>
        </w:rPr>
        <w:t>Hafezi</w:t>
      </w:r>
      <w:r w:rsidRPr="002C7FC2">
        <w:rPr>
          <w:sz w:val="20"/>
          <w:szCs w:val="20"/>
        </w:rPr>
        <w:t xml:space="preserve"> </w:t>
      </w:r>
      <w:r w:rsidRPr="002C7FC2">
        <w:rPr>
          <w:i/>
          <w:iCs/>
          <w:sz w:val="20"/>
          <w:szCs w:val="20"/>
        </w:rPr>
        <w:t>et al.</w:t>
      </w:r>
      <w:r w:rsidRPr="002C7FC2">
        <w:rPr>
          <w:sz w:val="20"/>
          <w:szCs w:val="20"/>
        </w:rPr>
        <w:t>, 2022). Across species, dietary LC supplementation has demonstrated consistent benefits, improving sperm concentration in roosters (</w:t>
      </w:r>
      <w:r w:rsidRPr="00C62FFF">
        <w:rPr>
          <w:color w:val="2E74B5" w:themeColor="accent1" w:themeShade="BF"/>
          <w:sz w:val="20"/>
          <w:szCs w:val="20"/>
        </w:rPr>
        <w:t>Neuman</w:t>
      </w:r>
      <w:r w:rsidRPr="002C7FC2">
        <w:rPr>
          <w:sz w:val="20"/>
          <w:szCs w:val="20"/>
        </w:rPr>
        <w:t xml:space="preserve"> </w:t>
      </w:r>
      <w:r w:rsidRPr="002C7FC2">
        <w:rPr>
          <w:i/>
          <w:iCs/>
          <w:sz w:val="20"/>
          <w:szCs w:val="20"/>
        </w:rPr>
        <w:t>et al.</w:t>
      </w:r>
      <w:r w:rsidRPr="002C7FC2">
        <w:rPr>
          <w:sz w:val="20"/>
          <w:szCs w:val="20"/>
        </w:rPr>
        <w:t>, 2002), motility in quails (</w:t>
      </w:r>
      <w:r w:rsidRPr="00C62FFF">
        <w:rPr>
          <w:color w:val="2E74B5" w:themeColor="accent1" w:themeShade="BF"/>
          <w:sz w:val="20"/>
          <w:szCs w:val="20"/>
        </w:rPr>
        <w:t>Ahangari</w:t>
      </w:r>
      <w:r w:rsidRPr="002C7FC2">
        <w:rPr>
          <w:sz w:val="20"/>
          <w:szCs w:val="20"/>
        </w:rPr>
        <w:t xml:space="preserve"> </w:t>
      </w:r>
      <w:r w:rsidRPr="002C7FC2">
        <w:rPr>
          <w:i/>
          <w:iCs/>
          <w:sz w:val="20"/>
          <w:szCs w:val="20"/>
        </w:rPr>
        <w:t>et al.</w:t>
      </w:r>
      <w:r w:rsidRPr="002C7FC2">
        <w:rPr>
          <w:sz w:val="20"/>
          <w:szCs w:val="20"/>
        </w:rPr>
        <w:t>, 2014), morphology in pigs (</w:t>
      </w:r>
      <w:proofErr w:type="spellStart"/>
      <w:r w:rsidRPr="00C62FFF">
        <w:rPr>
          <w:color w:val="2E74B5" w:themeColor="accent1" w:themeShade="BF"/>
          <w:sz w:val="20"/>
          <w:szCs w:val="20"/>
        </w:rPr>
        <w:t>Tatemoto</w:t>
      </w:r>
      <w:proofErr w:type="spellEnd"/>
      <w:r w:rsidRPr="002C7FC2">
        <w:rPr>
          <w:sz w:val="20"/>
          <w:szCs w:val="20"/>
        </w:rPr>
        <w:t xml:space="preserve"> </w:t>
      </w:r>
      <w:r w:rsidRPr="002C7FC2">
        <w:rPr>
          <w:i/>
          <w:iCs/>
          <w:sz w:val="20"/>
          <w:szCs w:val="20"/>
        </w:rPr>
        <w:t>et al.</w:t>
      </w:r>
      <w:r w:rsidRPr="002C7FC2">
        <w:rPr>
          <w:sz w:val="20"/>
          <w:szCs w:val="20"/>
        </w:rPr>
        <w:t>, 2022), and overall quality in humans (</w:t>
      </w:r>
      <w:r w:rsidRPr="00C62FFF">
        <w:rPr>
          <w:color w:val="2E74B5" w:themeColor="accent1" w:themeShade="BF"/>
          <w:sz w:val="20"/>
          <w:szCs w:val="20"/>
        </w:rPr>
        <w:t>Lin</w:t>
      </w:r>
      <w:r w:rsidRPr="002C7FC2">
        <w:rPr>
          <w:sz w:val="20"/>
          <w:szCs w:val="20"/>
        </w:rPr>
        <w:t xml:space="preserve"> </w:t>
      </w:r>
      <w:r w:rsidRPr="002C7FC2">
        <w:rPr>
          <w:i/>
          <w:iCs/>
          <w:sz w:val="20"/>
          <w:szCs w:val="20"/>
        </w:rPr>
        <w:t>et al.</w:t>
      </w:r>
      <w:r w:rsidRPr="002C7FC2">
        <w:rPr>
          <w:sz w:val="20"/>
          <w:szCs w:val="20"/>
        </w:rPr>
        <w:t>, 2020). In rabbits specifically, LC enhances both production performance and sperm cryo-resistance (</w:t>
      </w:r>
      <w:r w:rsidRPr="00C62FFF">
        <w:rPr>
          <w:color w:val="2E74B5" w:themeColor="accent1" w:themeShade="BF"/>
          <w:sz w:val="20"/>
          <w:szCs w:val="20"/>
        </w:rPr>
        <w:t>Abdelnour</w:t>
      </w:r>
      <w:r w:rsidRPr="002C7FC2">
        <w:rPr>
          <w:sz w:val="20"/>
          <w:szCs w:val="20"/>
        </w:rPr>
        <w:t xml:space="preserve"> </w:t>
      </w:r>
      <w:r w:rsidRPr="002C7FC2">
        <w:rPr>
          <w:i/>
          <w:iCs/>
          <w:sz w:val="20"/>
          <w:szCs w:val="20"/>
        </w:rPr>
        <w:t>et al.</w:t>
      </w:r>
      <w:r w:rsidRPr="002C7FC2">
        <w:rPr>
          <w:sz w:val="20"/>
          <w:szCs w:val="20"/>
        </w:rPr>
        <w:t>, 2022).</w:t>
      </w:r>
    </w:p>
    <w:p w14:paraId="3ECBDC0B" w14:textId="601CFE3A" w:rsidR="004E1AE3" w:rsidRDefault="006A7DAE" w:rsidP="006A7DAE">
      <w:pPr>
        <w:ind w:left="2" w:firstLineChars="180" w:firstLine="360"/>
        <w:jc w:val="both"/>
        <w:rPr>
          <w:sz w:val="20"/>
          <w:szCs w:val="20"/>
        </w:rPr>
      </w:pPr>
      <w:r w:rsidRPr="002C7FC2">
        <w:rPr>
          <w:rFonts w:eastAsia="Segoe UI"/>
          <w:sz w:val="20"/>
          <w:szCs w:val="20"/>
          <w:shd w:val="clear" w:color="auto" w:fill="FFFFFF"/>
        </w:rPr>
        <w:t>Given the vulnerability of rabbit spermatozoa to oxidative damage (</w:t>
      </w:r>
      <w:proofErr w:type="spellStart"/>
      <w:r w:rsidRPr="00C62FFF">
        <w:rPr>
          <w:rFonts w:eastAsia="Segoe UI"/>
          <w:color w:val="2E74B5" w:themeColor="accent1" w:themeShade="BF"/>
          <w:sz w:val="20"/>
          <w:szCs w:val="20"/>
          <w:shd w:val="clear" w:color="auto" w:fill="FFFFFF"/>
        </w:rPr>
        <w:t>Brecchia</w:t>
      </w:r>
      <w:proofErr w:type="spellEnd"/>
      <w:r w:rsidRPr="002C7FC2">
        <w:rPr>
          <w:rFonts w:eastAsia="Segoe UI"/>
          <w:sz w:val="20"/>
          <w:szCs w:val="20"/>
          <w:shd w:val="clear" w:color="auto" w:fill="FFFFFF"/>
        </w:rPr>
        <w:t xml:space="preserve"> </w:t>
      </w:r>
      <w:r w:rsidRPr="002C7FC2">
        <w:rPr>
          <w:rFonts w:eastAsia="Segoe UI"/>
          <w:i/>
          <w:iCs/>
          <w:sz w:val="20"/>
          <w:szCs w:val="20"/>
          <w:shd w:val="clear" w:color="auto" w:fill="FFFFFF"/>
        </w:rPr>
        <w:t>et al.</w:t>
      </w:r>
      <w:r w:rsidRPr="002C7FC2">
        <w:rPr>
          <w:rFonts w:eastAsia="Segoe UI"/>
          <w:sz w:val="20"/>
          <w:szCs w:val="20"/>
          <w:shd w:val="clear" w:color="auto" w:fill="FFFFFF"/>
        </w:rPr>
        <w:t>, 2023), this study investigated whether dietary LC could mitigate this impairment. It was hypothesized that dietary LC supplementation would improve semen quality and cryo-resistance in rabbits by enhancing antioxidant capacity and reducing oxidative damage and apoptosis. To test this hypothesis, the study aimed to: (1) establish dose-response relationships across five LC concentrations (0–450mg/kg); (2) evaluate comprehensive semen quality parameters in both fresh and post-thaw samples; and (3) elucidate underlying protective mechanisms through antioxidant profiling and molecular analyses.</w:t>
      </w:r>
    </w:p>
    <w:p w14:paraId="799C1738" w14:textId="779E38E7" w:rsidR="004E1701" w:rsidRDefault="004E1701" w:rsidP="004E1701">
      <w:pPr>
        <w:rPr>
          <w:sz w:val="20"/>
          <w:szCs w:val="20"/>
        </w:rPr>
      </w:pPr>
    </w:p>
    <w:p w14:paraId="0BF9F97F" w14:textId="4A316998" w:rsidR="004E1701" w:rsidRPr="00AE34E1" w:rsidRDefault="004E1701" w:rsidP="004E1701">
      <w:pPr>
        <w:jc w:val="center"/>
        <w:rPr>
          <w:b/>
          <w:bCs/>
          <w:sz w:val="20"/>
          <w:szCs w:val="20"/>
        </w:rPr>
      </w:pPr>
      <w:r w:rsidRPr="004E1701">
        <w:rPr>
          <w:b/>
          <w:sz w:val="20"/>
        </w:rPr>
        <w:t>MATERIALS AND METHODS</w:t>
      </w:r>
    </w:p>
    <w:p w14:paraId="7433B5A7" w14:textId="77777777" w:rsidR="004E1701" w:rsidRPr="00AE34E1" w:rsidRDefault="004E1701" w:rsidP="004E1701">
      <w:pPr>
        <w:jc w:val="center"/>
        <w:rPr>
          <w:b/>
          <w:bCs/>
          <w:sz w:val="20"/>
          <w:szCs w:val="20"/>
        </w:rPr>
      </w:pPr>
    </w:p>
    <w:p w14:paraId="181E40CC" w14:textId="77777777" w:rsidR="006A7DAE" w:rsidRDefault="006A7DAE" w:rsidP="006A7DAE">
      <w:pPr>
        <w:adjustRightInd w:val="0"/>
        <w:snapToGrid w:val="0"/>
        <w:jc w:val="both"/>
        <w:rPr>
          <w:sz w:val="20"/>
          <w:szCs w:val="20"/>
        </w:rPr>
      </w:pPr>
      <w:bookmarkStart w:id="2" w:name="_Hlk210171262"/>
      <w:r w:rsidRPr="002C7FC2">
        <w:rPr>
          <w:b/>
          <w:bCs/>
          <w:sz w:val="20"/>
          <w:szCs w:val="20"/>
        </w:rPr>
        <w:t xml:space="preserve">Ethical approval and experimental animals: </w:t>
      </w:r>
      <w:r w:rsidRPr="002C7FC2">
        <w:rPr>
          <w:sz w:val="20"/>
          <w:szCs w:val="20"/>
        </w:rPr>
        <w:t>The experimental protocol was reviewed and approved by the Animal Care and Use Committee of the Institute of Animal Husbandry and Veterinary Medicine, Fujian Academy of Agricultural Sciences,</w:t>
      </w:r>
      <w:r w:rsidRPr="002C7FC2">
        <w:rPr>
          <w:rStyle w:val="CommentReference"/>
          <w:sz w:val="20"/>
          <w:szCs w:val="20"/>
        </w:rPr>
        <w:t xml:space="preserve"> Fuzhou, China </w:t>
      </w:r>
      <w:r w:rsidRPr="002C7FC2">
        <w:rPr>
          <w:sz w:val="20"/>
          <w:szCs w:val="20"/>
        </w:rPr>
        <w:t xml:space="preserve">(Approval No. 202402FJ004). Fifty healthy 32-week-old Fujian Yellow male rabbits with an average body weight of 3.2±0.2kg were used. The animals were individually housed in galvanized wire cages (40×60×45cm) under standard </w:t>
      </w:r>
      <w:r w:rsidRPr="002C7FC2">
        <w:rPr>
          <w:sz w:val="20"/>
          <w:szCs w:val="20"/>
        </w:rPr>
        <w:lastRenderedPageBreak/>
        <w:t>management conditions with natural ventilation. All rabbits had free access to clean drinking water and were fed a commercial pellet diet formulated to meet NRC (1997) nutritional requirements.</w:t>
      </w:r>
    </w:p>
    <w:p w14:paraId="427F106C" w14:textId="77777777" w:rsidR="006A7DAE" w:rsidRPr="002C7FC2" w:rsidRDefault="006A7DAE" w:rsidP="006A7DAE">
      <w:pPr>
        <w:adjustRightInd w:val="0"/>
        <w:snapToGrid w:val="0"/>
        <w:jc w:val="both"/>
        <w:rPr>
          <w:b/>
          <w:bCs/>
          <w:sz w:val="20"/>
          <w:szCs w:val="20"/>
        </w:rPr>
      </w:pPr>
    </w:p>
    <w:p w14:paraId="0923183E" w14:textId="77777777" w:rsidR="0033316B" w:rsidRDefault="006A7DAE" w:rsidP="0033316B">
      <w:pPr>
        <w:adjustRightInd w:val="0"/>
        <w:snapToGrid w:val="0"/>
        <w:jc w:val="both"/>
        <w:rPr>
          <w:b/>
          <w:bCs/>
          <w:sz w:val="20"/>
          <w:szCs w:val="20"/>
        </w:rPr>
      </w:pPr>
      <w:r w:rsidRPr="002C7FC2">
        <w:rPr>
          <w:b/>
          <w:bCs/>
          <w:sz w:val="20"/>
          <w:szCs w:val="20"/>
        </w:rPr>
        <w:t xml:space="preserve">Experimental design and semen collection: </w:t>
      </w:r>
      <w:r w:rsidRPr="002C7FC2">
        <w:rPr>
          <w:sz w:val="20"/>
          <w:szCs w:val="20"/>
        </w:rPr>
        <w:t xml:space="preserve">The composition and nutrient levels of the rabbit diet are presented in Table 1. </w:t>
      </w:r>
      <w:r w:rsidRPr="002C7FC2">
        <w:rPr>
          <w:rFonts w:eastAsia="Segoe UI"/>
          <w:sz w:val="20"/>
          <w:szCs w:val="20"/>
          <w:shd w:val="clear" w:color="auto" w:fill="FFFFFF"/>
        </w:rPr>
        <w:t>The basal commercial diet was first mashed into powder, thoroughly mixed with the corresponding concentration of LC, and then prepared into pellet form. </w:t>
      </w:r>
      <w:r w:rsidRPr="002C7FC2">
        <w:rPr>
          <w:sz w:val="20"/>
          <w:szCs w:val="20"/>
        </w:rPr>
        <w:t xml:space="preserve">Male rabbits were randomly divided into five groups (n=10 per group) receiving different dietary LC supplementation levels: 0(LC0, control), 75(LC75), 150(LC150), 300(LC300) and 450mg/kg (LC450). The feeding trial lasted for 8 weeks, with the first 4 weeks serving as an adaptation period. Semen collection began on day 29 using the rabbit artificial vagina and teaser rabbit doe, as described by </w:t>
      </w:r>
      <w:proofErr w:type="spellStart"/>
      <w:r w:rsidRPr="00C62FFF">
        <w:rPr>
          <w:color w:val="2E74B5" w:themeColor="accent1" w:themeShade="BF"/>
          <w:sz w:val="20"/>
          <w:szCs w:val="20"/>
        </w:rPr>
        <w:t>Ewuola</w:t>
      </w:r>
      <w:proofErr w:type="spellEnd"/>
      <w:r w:rsidRPr="002C7FC2">
        <w:rPr>
          <w:sz w:val="20"/>
          <w:szCs w:val="20"/>
        </w:rPr>
        <w:t xml:space="preserve"> </w:t>
      </w:r>
      <w:r w:rsidRPr="002C7FC2">
        <w:rPr>
          <w:i/>
          <w:iCs/>
          <w:sz w:val="20"/>
          <w:szCs w:val="20"/>
        </w:rPr>
        <w:t>et al.</w:t>
      </w:r>
      <w:r w:rsidRPr="002C7FC2">
        <w:rPr>
          <w:sz w:val="20"/>
          <w:szCs w:val="20"/>
        </w:rPr>
        <w:t xml:space="preserve"> (2014), with subsequent collections were performed at 3-day intervals. During the 4-week formal experiment, semen was collected a total of 8 times. Immediately after collection, ejaculate volume was measured, and gel plugs were removed before analysis. Ejaculates collected from 10 rabbits of each group on each collection session were pooled. The </w:t>
      </w:r>
      <w:proofErr w:type="spellStart"/>
      <w:r w:rsidRPr="002C7FC2">
        <w:rPr>
          <w:sz w:val="20"/>
          <w:szCs w:val="20"/>
        </w:rPr>
        <w:t>mean±SD</w:t>
      </w:r>
      <w:proofErr w:type="spellEnd"/>
      <w:r w:rsidRPr="002C7FC2">
        <w:rPr>
          <w:sz w:val="20"/>
          <w:szCs w:val="20"/>
        </w:rPr>
        <w:t xml:space="preserve"> values of semen volume for 10 rabbits of each group before treatment are shown in Table 2. After semen samples collected each time from 10 rabbits of a group were pooled together, approximately 3mL aliquot of this pooled sample was taken for further analysis of various indicators.</w:t>
      </w:r>
      <w:r w:rsidR="0033316B" w:rsidRPr="0033316B">
        <w:rPr>
          <w:b/>
          <w:bCs/>
          <w:sz w:val="20"/>
          <w:szCs w:val="20"/>
        </w:rPr>
        <w:t xml:space="preserve"> </w:t>
      </w:r>
    </w:p>
    <w:p w14:paraId="3260170B" w14:textId="77777777" w:rsidR="0033316B" w:rsidRDefault="0033316B" w:rsidP="0033316B">
      <w:pPr>
        <w:adjustRightInd w:val="0"/>
        <w:snapToGrid w:val="0"/>
        <w:jc w:val="both"/>
        <w:rPr>
          <w:b/>
          <w:bCs/>
          <w:sz w:val="20"/>
          <w:szCs w:val="20"/>
        </w:rPr>
      </w:pPr>
    </w:p>
    <w:p w14:paraId="243811B7" w14:textId="2265B1BB" w:rsidR="0033316B" w:rsidRPr="002C7FC2" w:rsidRDefault="0033316B" w:rsidP="0033316B">
      <w:pPr>
        <w:adjustRightInd w:val="0"/>
        <w:snapToGrid w:val="0"/>
        <w:jc w:val="both"/>
        <w:rPr>
          <w:b/>
          <w:bCs/>
          <w:sz w:val="20"/>
          <w:szCs w:val="20"/>
        </w:rPr>
      </w:pPr>
      <w:r w:rsidRPr="002C7FC2">
        <w:rPr>
          <w:b/>
          <w:bCs/>
          <w:sz w:val="20"/>
          <w:szCs w:val="20"/>
        </w:rPr>
        <w:t xml:space="preserve">Semen quality and kinematic analysis: </w:t>
      </w:r>
      <w:r w:rsidRPr="002C7FC2">
        <w:rPr>
          <w:sz w:val="20"/>
          <w:szCs w:val="20"/>
        </w:rPr>
        <w:t xml:space="preserve">Sperm concentration was determined using a calibrated Photometer (SDM1, </w:t>
      </w:r>
      <w:proofErr w:type="spellStart"/>
      <w:r w:rsidRPr="002C7FC2">
        <w:rPr>
          <w:sz w:val="20"/>
          <w:szCs w:val="20"/>
        </w:rPr>
        <w:t>Minitube</w:t>
      </w:r>
      <w:proofErr w:type="spellEnd"/>
      <w:r w:rsidRPr="002C7FC2">
        <w:rPr>
          <w:sz w:val="20"/>
          <w:szCs w:val="20"/>
        </w:rPr>
        <w:t xml:space="preserve">, Germany). </w:t>
      </w:r>
      <w:r w:rsidRPr="002C7FC2">
        <w:rPr>
          <w:rStyle w:val="CommentReference"/>
          <w:sz w:val="20"/>
          <w:szCs w:val="20"/>
        </w:rPr>
        <w:t>Briefly, 2μL of fresh semen was diluted with Tris-citric acid-glucose (TCG) semen diluent at a 1:9 ratio. Subsequently, 2μL of the diluted sample was used for estimation of the sperm cell concentration.</w:t>
      </w:r>
      <w:r w:rsidRPr="002C7FC2">
        <w:rPr>
          <w:sz w:val="20"/>
          <w:szCs w:val="20"/>
        </w:rPr>
        <w:t xml:space="preserve"> Computer-assisted sperm analysis system (CASA; Hamilton Thorne IVOS II) was used to assess sperm motility parameters including total motility (TM), progressive motility (PM), curvilinear velocity (VCL), straight-line velocity (VSL), average path velocity (VAP), amplitude of lateral head displacement (ALH), beat-cross frequency (BCF), straightness (STR), linearity (LIN) and wobble (WOB). At least 500 sperm per sample were evaluated across five microscopic fields. </w:t>
      </w:r>
    </w:p>
    <w:p w14:paraId="5BA8989E" w14:textId="160C4E62" w:rsidR="006A7DAE" w:rsidRPr="0033316B" w:rsidRDefault="006A7DAE" w:rsidP="006A7DAE">
      <w:pPr>
        <w:adjustRightInd w:val="0"/>
        <w:snapToGrid w:val="0"/>
        <w:jc w:val="both"/>
        <w:rPr>
          <w:sz w:val="16"/>
          <w:szCs w:val="16"/>
        </w:rPr>
      </w:pPr>
    </w:p>
    <w:p w14:paraId="688DCA69" w14:textId="77777777" w:rsidR="0033316B" w:rsidRPr="002C7FC2" w:rsidRDefault="0033316B" w:rsidP="0033316B">
      <w:pPr>
        <w:adjustRightInd w:val="0"/>
        <w:snapToGrid w:val="0"/>
        <w:rPr>
          <w:rFonts w:ascii="Gill Sans MT" w:hAnsi="Gill Sans MT"/>
          <w:sz w:val="16"/>
          <w:szCs w:val="16"/>
          <w:lang w:bidi="ar"/>
        </w:rPr>
      </w:pPr>
      <w:r w:rsidRPr="002C7FC2">
        <w:rPr>
          <w:rFonts w:ascii="Gill Sans MT" w:hAnsi="Gill Sans MT"/>
          <w:b/>
          <w:bCs/>
          <w:sz w:val="16"/>
          <w:szCs w:val="16"/>
          <w:lang w:bidi="ar"/>
        </w:rPr>
        <w:t>Table 1:</w:t>
      </w:r>
      <w:r w:rsidRPr="002C7FC2">
        <w:rPr>
          <w:rFonts w:ascii="Gill Sans MT" w:hAnsi="Gill Sans MT"/>
          <w:sz w:val="16"/>
          <w:szCs w:val="16"/>
          <w:lang w:bidi="ar"/>
        </w:rPr>
        <w:t xml:space="preserve">  Composition and nutrient levels of the commercial pellet diet (air-dry basis, %)</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607"/>
        <w:gridCol w:w="603"/>
        <w:gridCol w:w="1682"/>
        <w:gridCol w:w="603"/>
      </w:tblGrid>
      <w:tr w:rsidR="0033316B" w:rsidRPr="002C7FC2" w14:paraId="58B3E7ED" w14:textId="77777777" w:rsidTr="00890324">
        <w:trPr>
          <w:trHeight w:hRule="exact" w:val="173"/>
          <w:jc w:val="center"/>
        </w:trPr>
        <w:tc>
          <w:tcPr>
            <w:tcW w:w="0" w:type="auto"/>
            <w:tcBorders>
              <w:bottom w:val="single" w:sz="4" w:space="0" w:color="auto"/>
              <w:right w:val="nil"/>
            </w:tcBorders>
          </w:tcPr>
          <w:p w14:paraId="229B137C"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Ingredient</w:t>
            </w:r>
          </w:p>
        </w:tc>
        <w:tc>
          <w:tcPr>
            <w:tcW w:w="0" w:type="auto"/>
            <w:tcBorders>
              <w:left w:val="nil"/>
              <w:bottom w:val="single" w:sz="4" w:space="0" w:color="auto"/>
              <w:right w:val="single" w:sz="4" w:space="0" w:color="auto"/>
            </w:tcBorders>
          </w:tcPr>
          <w:p w14:paraId="324740C2"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 xml:space="preserve">Content </w:t>
            </w:r>
          </w:p>
        </w:tc>
        <w:tc>
          <w:tcPr>
            <w:tcW w:w="0" w:type="auto"/>
            <w:tcBorders>
              <w:left w:val="single" w:sz="4" w:space="0" w:color="auto"/>
              <w:bottom w:val="single" w:sz="4" w:space="0" w:color="auto"/>
            </w:tcBorders>
          </w:tcPr>
          <w:p w14:paraId="728C1B9B"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Nutrient levels</w:t>
            </w:r>
            <w:r w:rsidRPr="002C7FC2">
              <w:rPr>
                <w:rFonts w:ascii="Gill Sans MT" w:hAnsi="Gill Sans MT"/>
                <w:sz w:val="16"/>
                <w:szCs w:val="16"/>
                <w:vertAlign w:val="superscript"/>
              </w:rPr>
              <w:t>2</w:t>
            </w:r>
          </w:p>
        </w:tc>
        <w:tc>
          <w:tcPr>
            <w:tcW w:w="0" w:type="auto"/>
            <w:tcBorders>
              <w:left w:val="nil"/>
              <w:bottom w:val="single" w:sz="4" w:space="0" w:color="auto"/>
            </w:tcBorders>
          </w:tcPr>
          <w:p w14:paraId="040BEDF1"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Content</w:t>
            </w:r>
          </w:p>
        </w:tc>
      </w:tr>
      <w:tr w:rsidR="0033316B" w:rsidRPr="002C7FC2" w14:paraId="085B702F" w14:textId="77777777" w:rsidTr="00890324">
        <w:trPr>
          <w:trHeight w:hRule="exact" w:val="173"/>
          <w:jc w:val="center"/>
        </w:trPr>
        <w:tc>
          <w:tcPr>
            <w:tcW w:w="0" w:type="auto"/>
            <w:tcBorders>
              <w:top w:val="single" w:sz="4" w:space="0" w:color="auto"/>
              <w:bottom w:val="nil"/>
              <w:right w:val="nil"/>
            </w:tcBorders>
          </w:tcPr>
          <w:p w14:paraId="08D563D7"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Corn</w:t>
            </w:r>
          </w:p>
        </w:tc>
        <w:tc>
          <w:tcPr>
            <w:tcW w:w="0" w:type="auto"/>
            <w:tcBorders>
              <w:top w:val="single" w:sz="4" w:space="0" w:color="auto"/>
              <w:left w:val="nil"/>
              <w:bottom w:val="nil"/>
              <w:right w:val="single" w:sz="4" w:space="0" w:color="auto"/>
            </w:tcBorders>
          </w:tcPr>
          <w:p w14:paraId="7D63E26E"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30</w:t>
            </w:r>
          </w:p>
        </w:tc>
        <w:tc>
          <w:tcPr>
            <w:tcW w:w="0" w:type="auto"/>
            <w:tcBorders>
              <w:top w:val="single" w:sz="4" w:space="0" w:color="auto"/>
              <w:left w:val="single" w:sz="4" w:space="0" w:color="auto"/>
              <w:bottom w:val="nil"/>
            </w:tcBorders>
          </w:tcPr>
          <w:p w14:paraId="7BF2800E"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lang w:bidi="ar"/>
              </w:rPr>
              <w:t>Digestible energy (MJ/kg)</w:t>
            </w:r>
          </w:p>
        </w:tc>
        <w:tc>
          <w:tcPr>
            <w:tcW w:w="0" w:type="auto"/>
            <w:tcBorders>
              <w:top w:val="single" w:sz="4" w:space="0" w:color="auto"/>
              <w:left w:val="nil"/>
              <w:bottom w:val="nil"/>
            </w:tcBorders>
          </w:tcPr>
          <w:p w14:paraId="2127A115"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lang w:bidi="ar"/>
              </w:rPr>
              <w:t>10.25</w:t>
            </w:r>
          </w:p>
        </w:tc>
      </w:tr>
      <w:tr w:rsidR="0033316B" w:rsidRPr="002C7FC2" w14:paraId="79837EF1" w14:textId="77777777" w:rsidTr="00890324">
        <w:trPr>
          <w:trHeight w:hRule="exact" w:val="173"/>
          <w:jc w:val="center"/>
        </w:trPr>
        <w:tc>
          <w:tcPr>
            <w:tcW w:w="0" w:type="auto"/>
            <w:tcBorders>
              <w:top w:val="nil"/>
              <w:bottom w:val="nil"/>
              <w:right w:val="nil"/>
            </w:tcBorders>
          </w:tcPr>
          <w:p w14:paraId="36EB6E7A"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Peanut meal</w:t>
            </w:r>
          </w:p>
        </w:tc>
        <w:tc>
          <w:tcPr>
            <w:tcW w:w="0" w:type="auto"/>
            <w:tcBorders>
              <w:top w:val="nil"/>
              <w:left w:val="nil"/>
              <w:bottom w:val="nil"/>
              <w:right w:val="single" w:sz="4" w:space="0" w:color="auto"/>
            </w:tcBorders>
          </w:tcPr>
          <w:p w14:paraId="00FA0907"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10</w:t>
            </w:r>
          </w:p>
        </w:tc>
        <w:tc>
          <w:tcPr>
            <w:tcW w:w="0" w:type="auto"/>
            <w:tcBorders>
              <w:top w:val="nil"/>
              <w:left w:val="single" w:sz="4" w:space="0" w:color="auto"/>
              <w:bottom w:val="nil"/>
            </w:tcBorders>
          </w:tcPr>
          <w:p w14:paraId="133908B1"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lang w:bidi="ar"/>
              </w:rPr>
              <w:t>Crude protein (%)</w:t>
            </w:r>
          </w:p>
        </w:tc>
        <w:tc>
          <w:tcPr>
            <w:tcW w:w="0" w:type="auto"/>
            <w:tcBorders>
              <w:top w:val="nil"/>
              <w:left w:val="nil"/>
              <w:bottom w:val="nil"/>
            </w:tcBorders>
          </w:tcPr>
          <w:p w14:paraId="0E0F3C28"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lang w:bidi="ar"/>
              </w:rPr>
              <w:t>14.46</w:t>
            </w:r>
          </w:p>
        </w:tc>
      </w:tr>
      <w:tr w:rsidR="0033316B" w:rsidRPr="002C7FC2" w14:paraId="61EDD17D" w14:textId="77777777" w:rsidTr="00890324">
        <w:trPr>
          <w:trHeight w:hRule="exact" w:val="173"/>
          <w:jc w:val="center"/>
        </w:trPr>
        <w:tc>
          <w:tcPr>
            <w:tcW w:w="0" w:type="auto"/>
            <w:tcBorders>
              <w:top w:val="nil"/>
              <w:bottom w:val="nil"/>
              <w:right w:val="nil"/>
            </w:tcBorders>
          </w:tcPr>
          <w:p w14:paraId="44A9D2C8"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Bran</w:t>
            </w:r>
          </w:p>
        </w:tc>
        <w:tc>
          <w:tcPr>
            <w:tcW w:w="0" w:type="auto"/>
            <w:tcBorders>
              <w:top w:val="nil"/>
              <w:left w:val="nil"/>
              <w:bottom w:val="nil"/>
              <w:right w:val="single" w:sz="4" w:space="0" w:color="auto"/>
            </w:tcBorders>
          </w:tcPr>
          <w:p w14:paraId="42082231"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20</w:t>
            </w:r>
          </w:p>
        </w:tc>
        <w:tc>
          <w:tcPr>
            <w:tcW w:w="0" w:type="auto"/>
            <w:tcBorders>
              <w:top w:val="nil"/>
              <w:left w:val="single" w:sz="4" w:space="0" w:color="auto"/>
              <w:bottom w:val="nil"/>
            </w:tcBorders>
          </w:tcPr>
          <w:p w14:paraId="4D147BFB" w14:textId="77777777" w:rsidR="0033316B" w:rsidRPr="002C7FC2" w:rsidRDefault="0033316B" w:rsidP="00890324">
            <w:pPr>
              <w:adjustRightInd w:val="0"/>
              <w:snapToGrid w:val="0"/>
              <w:rPr>
                <w:rFonts w:ascii="Gill Sans MT" w:hAnsi="Gill Sans MT"/>
                <w:sz w:val="16"/>
                <w:szCs w:val="16"/>
                <w:lang w:bidi="ar"/>
              </w:rPr>
            </w:pPr>
            <w:r w:rsidRPr="002C7FC2">
              <w:rPr>
                <w:rFonts w:ascii="Gill Sans MT" w:hAnsi="Gill Sans MT"/>
                <w:sz w:val="16"/>
                <w:szCs w:val="16"/>
                <w:lang w:bidi="ar"/>
              </w:rPr>
              <w:t>Ether extract (%)</w:t>
            </w:r>
          </w:p>
        </w:tc>
        <w:tc>
          <w:tcPr>
            <w:tcW w:w="0" w:type="auto"/>
            <w:tcBorders>
              <w:top w:val="nil"/>
              <w:left w:val="nil"/>
              <w:bottom w:val="nil"/>
            </w:tcBorders>
          </w:tcPr>
          <w:p w14:paraId="25E51F48" w14:textId="77777777" w:rsidR="0033316B" w:rsidRPr="002C7FC2" w:rsidRDefault="0033316B" w:rsidP="00890324">
            <w:pPr>
              <w:adjustRightInd w:val="0"/>
              <w:snapToGrid w:val="0"/>
              <w:rPr>
                <w:rFonts w:ascii="Gill Sans MT" w:hAnsi="Gill Sans MT"/>
                <w:sz w:val="16"/>
                <w:szCs w:val="16"/>
                <w:lang w:bidi="ar"/>
              </w:rPr>
            </w:pPr>
            <w:r w:rsidRPr="002C7FC2">
              <w:rPr>
                <w:rFonts w:ascii="Gill Sans MT" w:hAnsi="Gill Sans MT"/>
                <w:sz w:val="16"/>
                <w:szCs w:val="16"/>
                <w:lang w:bidi="ar"/>
              </w:rPr>
              <w:t>2.93</w:t>
            </w:r>
          </w:p>
        </w:tc>
      </w:tr>
      <w:tr w:rsidR="0033316B" w:rsidRPr="002C7FC2" w14:paraId="2E77E4B7" w14:textId="77777777" w:rsidTr="00890324">
        <w:trPr>
          <w:trHeight w:hRule="exact" w:val="173"/>
          <w:jc w:val="center"/>
        </w:trPr>
        <w:tc>
          <w:tcPr>
            <w:tcW w:w="0" w:type="auto"/>
            <w:tcBorders>
              <w:top w:val="nil"/>
              <w:bottom w:val="nil"/>
              <w:right w:val="nil"/>
            </w:tcBorders>
          </w:tcPr>
          <w:p w14:paraId="7B8A9B6C"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Alfalfa meal</w:t>
            </w:r>
          </w:p>
        </w:tc>
        <w:tc>
          <w:tcPr>
            <w:tcW w:w="0" w:type="auto"/>
            <w:tcBorders>
              <w:top w:val="nil"/>
              <w:left w:val="nil"/>
              <w:bottom w:val="nil"/>
              <w:right w:val="single" w:sz="4" w:space="0" w:color="auto"/>
            </w:tcBorders>
          </w:tcPr>
          <w:p w14:paraId="0F797779"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25</w:t>
            </w:r>
          </w:p>
        </w:tc>
        <w:tc>
          <w:tcPr>
            <w:tcW w:w="0" w:type="auto"/>
            <w:tcBorders>
              <w:top w:val="nil"/>
              <w:left w:val="single" w:sz="4" w:space="0" w:color="auto"/>
              <w:bottom w:val="nil"/>
            </w:tcBorders>
          </w:tcPr>
          <w:p w14:paraId="41E90C89"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shd w:val="clear" w:color="auto" w:fill="FFFFFF"/>
              </w:rPr>
              <w:t>C</w:t>
            </w:r>
            <w:r w:rsidRPr="002C7FC2">
              <w:rPr>
                <w:rFonts w:ascii="Gill Sans MT" w:eastAsia="Segoe UI" w:hAnsi="Gill Sans MT"/>
                <w:sz w:val="16"/>
                <w:szCs w:val="16"/>
                <w:shd w:val="clear" w:color="auto" w:fill="FFFFFF"/>
              </w:rPr>
              <w:t xml:space="preserve">rude </w:t>
            </w:r>
            <w:proofErr w:type="spellStart"/>
            <w:r w:rsidRPr="002C7FC2">
              <w:rPr>
                <w:rFonts w:ascii="Gill Sans MT" w:eastAsia="Segoe UI" w:hAnsi="Gill Sans MT"/>
                <w:sz w:val="16"/>
                <w:szCs w:val="16"/>
                <w:shd w:val="clear" w:color="auto" w:fill="FFFFFF"/>
              </w:rPr>
              <w:t>fibre</w:t>
            </w:r>
            <w:proofErr w:type="spellEnd"/>
            <w:r w:rsidRPr="002C7FC2">
              <w:rPr>
                <w:rFonts w:ascii="Gill Sans MT" w:eastAsia="Segoe UI" w:hAnsi="Gill Sans MT"/>
                <w:sz w:val="16"/>
                <w:szCs w:val="16"/>
                <w:shd w:val="clear" w:color="auto" w:fill="FFFFFF"/>
              </w:rPr>
              <w:t xml:space="preserve"> (</w:t>
            </w:r>
            <w:r w:rsidRPr="002C7FC2">
              <w:rPr>
                <w:rFonts w:ascii="Gill Sans MT" w:hAnsi="Gill Sans MT"/>
                <w:sz w:val="16"/>
                <w:szCs w:val="16"/>
                <w:lang w:bidi="ar"/>
              </w:rPr>
              <w:t>%)</w:t>
            </w:r>
          </w:p>
        </w:tc>
        <w:tc>
          <w:tcPr>
            <w:tcW w:w="0" w:type="auto"/>
            <w:tcBorders>
              <w:top w:val="nil"/>
              <w:left w:val="nil"/>
              <w:bottom w:val="nil"/>
            </w:tcBorders>
          </w:tcPr>
          <w:p w14:paraId="2492CAB9"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lang w:bidi="ar"/>
              </w:rPr>
              <w:t>16.46</w:t>
            </w:r>
          </w:p>
        </w:tc>
      </w:tr>
      <w:tr w:rsidR="0033316B" w:rsidRPr="002C7FC2" w14:paraId="6D71A782" w14:textId="77777777" w:rsidTr="00890324">
        <w:trPr>
          <w:trHeight w:hRule="exact" w:val="173"/>
          <w:jc w:val="center"/>
        </w:trPr>
        <w:tc>
          <w:tcPr>
            <w:tcW w:w="0" w:type="auto"/>
            <w:tcBorders>
              <w:top w:val="nil"/>
              <w:bottom w:val="nil"/>
              <w:right w:val="nil"/>
            </w:tcBorders>
          </w:tcPr>
          <w:p w14:paraId="488DFB39"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Peanut seedling powder</w:t>
            </w:r>
          </w:p>
        </w:tc>
        <w:tc>
          <w:tcPr>
            <w:tcW w:w="0" w:type="auto"/>
            <w:tcBorders>
              <w:top w:val="nil"/>
              <w:left w:val="nil"/>
              <w:bottom w:val="nil"/>
              <w:right w:val="single" w:sz="4" w:space="0" w:color="auto"/>
            </w:tcBorders>
          </w:tcPr>
          <w:p w14:paraId="09EBA322"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10</w:t>
            </w:r>
          </w:p>
        </w:tc>
        <w:tc>
          <w:tcPr>
            <w:tcW w:w="0" w:type="auto"/>
            <w:tcBorders>
              <w:top w:val="nil"/>
              <w:left w:val="single" w:sz="4" w:space="0" w:color="auto"/>
              <w:bottom w:val="nil"/>
            </w:tcBorders>
          </w:tcPr>
          <w:p w14:paraId="2FDE18A2" w14:textId="77777777" w:rsidR="0033316B" w:rsidRPr="002C7FC2" w:rsidRDefault="0033316B" w:rsidP="00890324">
            <w:pPr>
              <w:adjustRightInd w:val="0"/>
              <w:snapToGrid w:val="0"/>
              <w:rPr>
                <w:rFonts w:ascii="Gill Sans MT" w:hAnsi="Gill Sans MT"/>
                <w:sz w:val="16"/>
                <w:szCs w:val="16"/>
                <w:lang w:bidi="ar"/>
              </w:rPr>
            </w:pPr>
            <w:r w:rsidRPr="002C7FC2">
              <w:rPr>
                <w:rFonts w:ascii="Gill Sans MT" w:hAnsi="Gill Sans MT"/>
                <w:sz w:val="16"/>
                <w:szCs w:val="16"/>
                <w:shd w:val="clear" w:color="auto" w:fill="FFFFFF"/>
              </w:rPr>
              <w:t>C</w:t>
            </w:r>
            <w:r w:rsidRPr="002C7FC2">
              <w:rPr>
                <w:rFonts w:ascii="Gill Sans MT" w:eastAsia="Segoe UI" w:hAnsi="Gill Sans MT"/>
                <w:sz w:val="16"/>
                <w:szCs w:val="16"/>
                <w:shd w:val="clear" w:color="auto" w:fill="FFFFFF"/>
              </w:rPr>
              <w:t>rude ash (</w:t>
            </w:r>
            <w:r w:rsidRPr="002C7FC2">
              <w:rPr>
                <w:rFonts w:ascii="Gill Sans MT" w:hAnsi="Gill Sans MT"/>
                <w:sz w:val="16"/>
                <w:szCs w:val="16"/>
                <w:lang w:bidi="ar"/>
              </w:rPr>
              <w:t>%)</w:t>
            </w:r>
          </w:p>
        </w:tc>
        <w:tc>
          <w:tcPr>
            <w:tcW w:w="0" w:type="auto"/>
            <w:tcBorders>
              <w:top w:val="nil"/>
              <w:left w:val="nil"/>
              <w:bottom w:val="nil"/>
            </w:tcBorders>
          </w:tcPr>
          <w:p w14:paraId="7663CB0D" w14:textId="77777777" w:rsidR="0033316B" w:rsidRPr="002C7FC2" w:rsidRDefault="0033316B" w:rsidP="00890324">
            <w:pPr>
              <w:adjustRightInd w:val="0"/>
              <w:snapToGrid w:val="0"/>
              <w:rPr>
                <w:rFonts w:ascii="Gill Sans MT" w:hAnsi="Gill Sans MT"/>
                <w:sz w:val="16"/>
                <w:szCs w:val="16"/>
                <w:lang w:bidi="ar"/>
              </w:rPr>
            </w:pPr>
            <w:r w:rsidRPr="002C7FC2">
              <w:rPr>
                <w:rFonts w:ascii="Gill Sans MT" w:hAnsi="Gill Sans MT"/>
                <w:sz w:val="16"/>
                <w:szCs w:val="16"/>
                <w:lang w:bidi="ar"/>
              </w:rPr>
              <w:t>8.93</w:t>
            </w:r>
          </w:p>
        </w:tc>
      </w:tr>
      <w:tr w:rsidR="0033316B" w:rsidRPr="002C7FC2" w14:paraId="7E23B59E" w14:textId="77777777" w:rsidTr="00890324">
        <w:trPr>
          <w:trHeight w:hRule="exact" w:val="173"/>
          <w:jc w:val="center"/>
        </w:trPr>
        <w:tc>
          <w:tcPr>
            <w:tcW w:w="0" w:type="auto"/>
            <w:tcBorders>
              <w:top w:val="nil"/>
              <w:bottom w:val="nil"/>
              <w:right w:val="nil"/>
            </w:tcBorders>
          </w:tcPr>
          <w:p w14:paraId="3C3414BF"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CaHPO</w:t>
            </w:r>
            <w:r w:rsidRPr="002C7FC2">
              <w:rPr>
                <w:rFonts w:ascii="Gill Sans MT" w:hAnsi="Gill Sans MT"/>
                <w:sz w:val="16"/>
                <w:szCs w:val="16"/>
                <w:vertAlign w:val="subscript"/>
              </w:rPr>
              <w:t>4</w:t>
            </w:r>
          </w:p>
        </w:tc>
        <w:tc>
          <w:tcPr>
            <w:tcW w:w="0" w:type="auto"/>
            <w:tcBorders>
              <w:top w:val="nil"/>
              <w:left w:val="nil"/>
              <w:bottom w:val="nil"/>
              <w:right w:val="single" w:sz="4" w:space="0" w:color="auto"/>
            </w:tcBorders>
          </w:tcPr>
          <w:p w14:paraId="350CBA3B"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0.6</w:t>
            </w:r>
          </w:p>
        </w:tc>
        <w:tc>
          <w:tcPr>
            <w:tcW w:w="0" w:type="auto"/>
            <w:tcBorders>
              <w:top w:val="nil"/>
              <w:left w:val="single" w:sz="4" w:space="0" w:color="auto"/>
              <w:bottom w:val="nil"/>
            </w:tcBorders>
          </w:tcPr>
          <w:p w14:paraId="445130EA" w14:textId="77777777" w:rsidR="0033316B" w:rsidRPr="002C7FC2" w:rsidRDefault="0033316B" w:rsidP="00890324">
            <w:pPr>
              <w:adjustRightInd w:val="0"/>
              <w:snapToGrid w:val="0"/>
              <w:rPr>
                <w:rFonts w:ascii="Gill Sans MT" w:hAnsi="Gill Sans MT"/>
                <w:sz w:val="16"/>
                <w:szCs w:val="16"/>
                <w:lang w:bidi="ar"/>
              </w:rPr>
            </w:pPr>
            <w:r w:rsidRPr="002C7FC2">
              <w:rPr>
                <w:rStyle w:val="font21"/>
                <w:rFonts w:ascii="Gill Sans MT" w:hAnsi="Gill Sans MT" w:hint="default"/>
                <w:b w:val="0"/>
                <w:bCs w:val="0"/>
                <w:sz w:val="16"/>
                <w:szCs w:val="16"/>
                <w:lang w:bidi="ar"/>
              </w:rPr>
              <w:t xml:space="preserve">Calcium </w:t>
            </w:r>
            <w:r w:rsidRPr="002C7FC2">
              <w:rPr>
                <w:rStyle w:val="font21"/>
                <w:rFonts w:ascii="Gill Sans MT" w:hAnsi="Gill Sans MT" w:hint="default"/>
                <w:sz w:val="16"/>
                <w:szCs w:val="16"/>
              </w:rPr>
              <w:t>(</w:t>
            </w:r>
            <w:r w:rsidRPr="002C7FC2">
              <w:rPr>
                <w:rFonts w:ascii="Gill Sans MT" w:hAnsi="Gill Sans MT"/>
                <w:sz w:val="16"/>
                <w:szCs w:val="16"/>
                <w:lang w:bidi="ar"/>
              </w:rPr>
              <w:t>%)</w:t>
            </w:r>
          </w:p>
        </w:tc>
        <w:tc>
          <w:tcPr>
            <w:tcW w:w="0" w:type="auto"/>
            <w:tcBorders>
              <w:top w:val="nil"/>
              <w:left w:val="nil"/>
              <w:bottom w:val="nil"/>
            </w:tcBorders>
          </w:tcPr>
          <w:p w14:paraId="79CE65C8" w14:textId="77777777" w:rsidR="0033316B" w:rsidRPr="002C7FC2" w:rsidRDefault="0033316B" w:rsidP="00890324">
            <w:pPr>
              <w:adjustRightInd w:val="0"/>
              <w:snapToGrid w:val="0"/>
              <w:rPr>
                <w:rFonts w:ascii="Gill Sans MT" w:hAnsi="Gill Sans MT"/>
                <w:sz w:val="16"/>
                <w:szCs w:val="16"/>
                <w:lang w:bidi="ar"/>
              </w:rPr>
            </w:pPr>
            <w:r w:rsidRPr="002C7FC2">
              <w:rPr>
                <w:rFonts w:ascii="Gill Sans MT" w:hAnsi="Gill Sans MT"/>
                <w:sz w:val="16"/>
                <w:szCs w:val="16"/>
                <w:lang w:bidi="ar"/>
              </w:rPr>
              <w:t>0.99</w:t>
            </w:r>
          </w:p>
        </w:tc>
      </w:tr>
      <w:tr w:rsidR="0033316B" w:rsidRPr="002C7FC2" w14:paraId="0EA91E45" w14:textId="77777777" w:rsidTr="00890324">
        <w:trPr>
          <w:trHeight w:hRule="exact" w:val="173"/>
          <w:jc w:val="center"/>
        </w:trPr>
        <w:tc>
          <w:tcPr>
            <w:tcW w:w="0" w:type="auto"/>
            <w:tcBorders>
              <w:top w:val="nil"/>
              <w:bottom w:val="nil"/>
              <w:right w:val="nil"/>
            </w:tcBorders>
          </w:tcPr>
          <w:p w14:paraId="3AFB7A4A"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Salt</w:t>
            </w:r>
          </w:p>
        </w:tc>
        <w:tc>
          <w:tcPr>
            <w:tcW w:w="0" w:type="auto"/>
            <w:tcBorders>
              <w:top w:val="nil"/>
              <w:left w:val="nil"/>
              <w:bottom w:val="nil"/>
              <w:right w:val="single" w:sz="4" w:space="0" w:color="auto"/>
            </w:tcBorders>
          </w:tcPr>
          <w:p w14:paraId="5C8F4784"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0.4</w:t>
            </w:r>
          </w:p>
        </w:tc>
        <w:tc>
          <w:tcPr>
            <w:tcW w:w="0" w:type="auto"/>
            <w:tcBorders>
              <w:top w:val="nil"/>
              <w:left w:val="single" w:sz="4" w:space="0" w:color="auto"/>
              <w:bottom w:val="nil"/>
            </w:tcBorders>
          </w:tcPr>
          <w:p w14:paraId="7FB77C99" w14:textId="77777777" w:rsidR="0033316B" w:rsidRPr="002C7FC2" w:rsidRDefault="0033316B" w:rsidP="00890324">
            <w:pPr>
              <w:adjustRightInd w:val="0"/>
              <w:snapToGrid w:val="0"/>
              <w:rPr>
                <w:rFonts w:ascii="Gill Sans MT" w:hAnsi="Gill Sans MT"/>
                <w:sz w:val="16"/>
                <w:szCs w:val="16"/>
                <w:lang w:bidi="ar"/>
              </w:rPr>
            </w:pPr>
            <w:r w:rsidRPr="002C7FC2">
              <w:rPr>
                <w:rStyle w:val="font11"/>
                <w:rFonts w:ascii="Gill Sans MT" w:hAnsi="Gill Sans MT"/>
                <w:b w:val="0"/>
                <w:bCs w:val="0"/>
                <w:sz w:val="16"/>
                <w:szCs w:val="16"/>
                <w:lang w:bidi="ar"/>
              </w:rPr>
              <w:t xml:space="preserve">Phosphorus </w:t>
            </w:r>
            <w:r w:rsidRPr="002C7FC2">
              <w:rPr>
                <w:rStyle w:val="font11"/>
                <w:rFonts w:ascii="Gill Sans MT" w:hAnsi="Gill Sans MT"/>
                <w:b w:val="0"/>
                <w:bCs w:val="0"/>
                <w:sz w:val="16"/>
                <w:szCs w:val="16"/>
              </w:rPr>
              <w:t>(</w:t>
            </w:r>
            <w:r w:rsidRPr="002C7FC2">
              <w:rPr>
                <w:rFonts w:ascii="Gill Sans MT" w:hAnsi="Gill Sans MT"/>
                <w:sz w:val="16"/>
                <w:szCs w:val="16"/>
                <w:lang w:bidi="ar"/>
              </w:rPr>
              <w:t>%)</w:t>
            </w:r>
          </w:p>
        </w:tc>
        <w:tc>
          <w:tcPr>
            <w:tcW w:w="0" w:type="auto"/>
            <w:tcBorders>
              <w:top w:val="nil"/>
              <w:left w:val="nil"/>
              <w:bottom w:val="nil"/>
            </w:tcBorders>
          </w:tcPr>
          <w:p w14:paraId="3D33FE21" w14:textId="77777777" w:rsidR="0033316B" w:rsidRPr="002C7FC2" w:rsidRDefault="0033316B" w:rsidP="00890324">
            <w:pPr>
              <w:adjustRightInd w:val="0"/>
              <w:snapToGrid w:val="0"/>
              <w:rPr>
                <w:rFonts w:ascii="Gill Sans MT" w:hAnsi="Gill Sans MT"/>
                <w:sz w:val="16"/>
                <w:szCs w:val="16"/>
                <w:lang w:bidi="ar"/>
              </w:rPr>
            </w:pPr>
            <w:r w:rsidRPr="002C7FC2">
              <w:rPr>
                <w:rFonts w:ascii="Gill Sans MT" w:hAnsi="Gill Sans MT"/>
                <w:sz w:val="16"/>
                <w:szCs w:val="16"/>
                <w:lang w:bidi="ar"/>
              </w:rPr>
              <w:t>0.62</w:t>
            </w:r>
          </w:p>
        </w:tc>
      </w:tr>
      <w:tr w:rsidR="0033316B" w:rsidRPr="002C7FC2" w14:paraId="7D6088D0" w14:textId="77777777" w:rsidTr="00890324">
        <w:trPr>
          <w:trHeight w:hRule="exact" w:val="173"/>
          <w:jc w:val="center"/>
        </w:trPr>
        <w:tc>
          <w:tcPr>
            <w:tcW w:w="0" w:type="auto"/>
            <w:tcBorders>
              <w:top w:val="nil"/>
              <w:bottom w:val="nil"/>
              <w:right w:val="nil"/>
            </w:tcBorders>
          </w:tcPr>
          <w:p w14:paraId="08FAEE39"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Premix</w:t>
            </w:r>
            <w:r w:rsidRPr="002C7FC2">
              <w:rPr>
                <w:rFonts w:ascii="Gill Sans MT" w:hAnsi="Gill Sans MT"/>
                <w:sz w:val="16"/>
                <w:szCs w:val="16"/>
                <w:vertAlign w:val="superscript"/>
              </w:rPr>
              <w:t>1</w:t>
            </w:r>
          </w:p>
        </w:tc>
        <w:tc>
          <w:tcPr>
            <w:tcW w:w="0" w:type="auto"/>
            <w:tcBorders>
              <w:top w:val="nil"/>
              <w:left w:val="nil"/>
              <w:bottom w:val="nil"/>
              <w:right w:val="single" w:sz="4" w:space="0" w:color="auto"/>
            </w:tcBorders>
          </w:tcPr>
          <w:p w14:paraId="1D91BA2E"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4.0</w:t>
            </w:r>
          </w:p>
        </w:tc>
        <w:tc>
          <w:tcPr>
            <w:tcW w:w="0" w:type="auto"/>
            <w:tcBorders>
              <w:top w:val="nil"/>
              <w:left w:val="single" w:sz="4" w:space="0" w:color="auto"/>
              <w:bottom w:val="nil"/>
            </w:tcBorders>
          </w:tcPr>
          <w:p w14:paraId="7AA03666" w14:textId="77777777" w:rsidR="0033316B" w:rsidRPr="002C7FC2" w:rsidRDefault="0033316B" w:rsidP="00890324">
            <w:pPr>
              <w:adjustRightInd w:val="0"/>
              <w:snapToGrid w:val="0"/>
              <w:rPr>
                <w:rFonts w:ascii="Gill Sans MT" w:hAnsi="Gill Sans MT"/>
                <w:sz w:val="16"/>
                <w:szCs w:val="16"/>
              </w:rPr>
            </w:pPr>
          </w:p>
        </w:tc>
        <w:tc>
          <w:tcPr>
            <w:tcW w:w="0" w:type="auto"/>
            <w:tcBorders>
              <w:top w:val="nil"/>
              <w:left w:val="nil"/>
              <w:bottom w:val="nil"/>
            </w:tcBorders>
          </w:tcPr>
          <w:p w14:paraId="6F53D007" w14:textId="77777777" w:rsidR="0033316B" w:rsidRPr="002C7FC2" w:rsidRDefault="0033316B" w:rsidP="00890324">
            <w:pPr>
              <w:adjustRightInd w:val="0"/>
              <w:snapToGrid w:val="0"/>
              <w:rPr>
                <w:rFonts w:ascii="Gill Sans MT" w:hAnsi="Gill Sans MT"/>
                <w:sz w:val="16"/>
                <w:szCs w:val="16"/>
              </w:rPr>
            </w:pPr>
          </w:p>
        </w:tc>
      </w:tr>
      <w:tr w:rsidR="0033316B" w:rsidRPr="002C7FC2" w14:paraId="29AD622E" w14:textId="77777777" w:rsidTr="00890324">
        <w:trPr>
          <w:trHeight w:hRule="exact" w:val="173"/>
          <w:jc w:val="center"/>
        </w:trPr>
        <w:tc>
          <w:tcPr>
            <w:tcW w:w="0" w:type="auto"/>
            <w:tcBorders>
              <w:top w:val="nil"/>
              <w:bottom w:val="single" w:sz="4" w:space="0" w:color="auto"/>
              <w:right w:val="nil"/>
            </w:tcBorders>
          </w:tcPr>
          <w:p w14:paraId="7B6D7F88"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Total</w:t>
            </w:r>
          </w:p>
        </w:tc>
        <w:tc>
          <w:tcPr>
            <w:tcW w:w="0" w:type="auto"/>
            <w:tcBorders>
              <w:top w:val="nil"/>
              <w:left w:val="nil"/>
              <w:bottom w:val="single" w:sz="4" w:space="0" w:color="auto"/>
              <w:right w:val="single" w:sz="4" w:space="0" w:color="auto"/>
            </w:tcBorders>
          </w:tcPr>
          <w:p w14:paraId="32C27ADE" w14:textId="77777777" w:rsidR="0033316B" w:rsidRPr="002C7FC2" w:rsidRDefault="0033316B" w:rsidP="00890324">
            <w:pPr>
              <w:adjustRightInd w:val="0"/>
              <w:snapToGrid w:val="0"/>
              <w:rPr>
                <w:rFonts w:ascii="Gill Sans MT" w:hAnsi="Gill Sans MT"/>
                <w:sz w:val="16"/>
                <w:szCs w:val="16"/>
              </w:rPr>
            </w:pPr>
            <w:r w:rsidRPr="002C7FC2">
              <w:rPr>
                <w:rFonts w:ascii="Gill Sans MT" w:hAnsi="Gill Sans MT"/>
                <w:sz w:val="16"/>
                <w:szCs w:val="16"/>
              </w:rPr>
              <w:t>100</w:t>
            </w:r>
          </w:p>
        </w:tc>
        <w:tc>
          <w:tcPr>
            <w:tcW w:w="0" w:type="auto"/>
            <w:tcBorders>
              <w:top w:val="nil"/>
              <w:left w:val="single" w:sz="4" w:space="0" w:color="auto"/>
              <w:bottom w:val="single" w:sz="4" w:space="0" w:color="auto"/>
            </w:tcBorders>
          </w:tcPr>
          <w:p w14:paraId="69F0773B" w14:textId="77777777" w:rsidR="0033316B" w:rsidRPr="002C7FC2" w:rsidRDefault="0033316B" w:rsidP="00890324">
            <w:pPr>
              <w:adjustRightInd w:val="0"/>
              <w:snapToGrid w:val="0"/>
              <w:rPr>
                <w:rFonts w:ascii="Gill Sans MT" w:hAnsi="Gill Sans MT"/>
                <w:sz w:val="16"/>
                <w:szCs w:val="16"/>
              </w:rPr>
            </w:pPr>
          </w:p>
        </w:tc>
        <w:tc>
          <w:tcPr>
            <w:tcW w:w="0" w:type="auto"/>
            <w:tcBorders>
              <w:top w:val="nil"/>
              <w:left w:val="nil"/>
              <w:bottom w:val="single" w:sz="4" w:space="0" w:color="auto"/>
            </w:tcBorders>
          </w:tcPr>
          <w:p w14:paraId="491AF171" w14:textId="77777777" w:rsidR="0033316B" w:rsidRPr="002C7FC2" w:rsidRDefault="0033316B" w:rsidP="00890324">
            <w:pPr>
              <w:adjustRightInd w:val="0"/>
              <w:snapToGrid w:val="0"/>
              <w:rPr>
                <w:rFonts w:ascii="Gill Sans MT" w:hAnsi="Gill Sans MT"/>
                <w:sz w:val="16"/>
                <w:szCs w:val="16"/>
              </w:rPr>
            </w:pPr>
          </w:p>
        </w:tc>
      </w:tr>
    </w:tbl>
    <w:p w14:paraId="11BC98ED" w14:textId="77777777" w:rsidR="0033316B" w:rsidRDefault="0033316B" w:rsidP="0033316B">
      <w:pPr>
        <w:adjustRightInd w:val="0"/>
        <w:snapToGrid w:val="0"/>
        <w:rPr>
          <w:rFonts w:ascii="Gill Sans MT" w:hAnsi="Gill Sans MT"/>
          <w:b/>
          <w:bCs/>
          <w:sz w:val="16"/>
          <w:szCs w:val="16"/>
        </w:rPr>
        <w:sectPr w:rsidR="0033316B" w:rsidSect="00B96FFB">
          <w:type w:val="continuous"/>
          <w:pgSz w:w="11909" w:h="16834" w:code="9"/>
          <w:pgMar w:top="1080" w:right="1080" w:bottom="1080" w:left="1080" w:header="720" w:footer="720" w:gutter="0"/>
          <w:cols w:num="2" w:space="360"/>
          <w:docGrid w:linePitch="360"/>
        </w:sectPr>
      </w:pPr>
    </w:p>
    <w:p w14:paraId="1B8CEE84" w14:textId="77777777" w:rsidR="0033316B" w:rsidRPr="002C7FC2" w:rsidRDefault="0033316B" w:rsidP="0033316B">
      <w:pPr>
        <w:adjustRightInd w:val="0"/>
        <w:snapToGrid w:val="0"/>
        <w:spacing w:line="235" w:lineRule="auto"/>
        <w:rPr>
          <w:rFonts w:ascii="Gill Sans MT" w:hAnsi="Gill Sans MT"/>
          <w:sz w:val="16"/>
          <w:szCs w:val="16"/>
        </w:rPr>
      </w:pPr>
      <w:r w:rsidRPr="002C7FC2">
        <w:rPr>
          <w:rFonts w:ascii="Gill Sans MT" w:hAnsi="Gill Sans MT"/>
          <w:b/>
          <w:bCs/>
          <w:sz w:val="16"/>
          <w:szCs w:val="16"/>
        </w:rPr>
        <w:lastRenderedPageBreak/>
        <w:t xml:space="preserve">Table 2: </w:t>
      </w:r>
      <w:r w:rsidRPr="002C7FC2">
        <w:rPr>
          <w:rFonts w:ascii="Gill Sans MT" w:hAnsi="Gill Sans MT"/>
          <w:sz w:val="16"/>
          <w:szCs w:val="16"/>
        </w:rPr>
        <w:t>Mean values (±SD) for semen volume (mL) per group of 10 rabbits for samples collected at 8 different times</w:t>
      </w:r>
    </w:p>
    <w:tbl>
      <w:tblPr>
        <w:tblStyle w:val="TableGrid"/>
        <w:tblW w:w="5000" w:type="pct"/>
        <w:tblBorders>
          <w:left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1787"/>
        <w:gridCol w:w="995"/>
        <w:gridCol w:w="995"/>
        <w:gridCol w:w="994"/>
        <w:gridCol w:w="994"/>
        <w:gridCol w:w="994"/>
        <w:gridCol w:w="994"/>
        <w:gridCol w:w="994"/>
        <w:gridCol w:w="1002"/>
      </w:tblGrid>
      <w:tr w:rsidR="0033316B" w:rsidRPr="002C7FC2" w14:paraId="2596BF8A" w14:textId="77777777" w:rsidTr="0033316B">
        <w:trPr>
          <w:trHeight w:val="20"/>
        </w:trPr>
        <w:tc>
          <w:tcPr>
            <w:tcW w:w="916" w:type="pct"/>
            <w:vMerge w:val="restart"/>
            <w:tcBorders>
              <w:top w:val="single" w:sz="4" w:space="0" w:color="auto"/>
              <w:bottom w:val="nil"/>
            </w:tcBorders>
            <w:vAlign w:val="center"/>
          </w:tcPr>
          <w:p w14:paraId="08A70BF5" w14:textId="77777777" w:rsidR="0033316B" w:rsidRPr="002C7FC2" w:rsidRDefault="0033316B" w:rsidP="0033316B">
            <w:pPr>
              <w:adjustRightInd w:val="0"/>
              <w:snapToGrid w:val="0"/>
              <w:spacing w:line="235" w:lineRule="auto"/>
              <w:jc w:val="center"/>
              <w:rPr>
                <w:rStyle w:val="Strong"/>
                <w:rFonts w:ascii="Gill Sans MT" w:eastAsia="Segoe UI" w:hAnsi="Gill Sans MT"/>
                <w:b w:val="0"/>
                <w:bCs/>
                <w:sz w:val="16"/>
                <w:szCs w:val="16"/>
                <w:shd w:val="clear" w:color="auto" w:fill="FFFFFF"/>
              </w:rPr>
            </w:pPr>
            <w:r w:rsidRPr="002C7FC2">
              <w:rPr>
                <w:rStyle w:val="Strong"/>
                <w:rFonts w:ascii="Gill Sans MT" w:eastAsia="Segoe UI" w:hAnsi="Gill Sans MT"/>
                <w:b w:val="0"/>
                <w:bCs/>
                <w:sz w:val="16"/>
                <w:szCs w:val="16"/>
                <w:shd w:val="clear" w:color="auto" w:fill="FFFFFF"/>
              </w:rPr>
              <w:t>Treatment groups</w:t>
            </w:r>
          </w:p>
        </w:tc>
        <w:tc>
          <w:tcPr>
            <w:tcW w:w="4084" w:type="pct"/>
            <w:gridSpan w:val="8"/>
            <w:tcBorders>
              <w:top w:val="single" w:sz="4" w:space="0" w:color="auto"/>
              <w:bottom w:val="single" w:sz="4" w:space="0" w:color="auto"/>
            </w:tcBorders>
            <w:vAlign w:val="center"/>
          </w:tcPr>
          <w:p w14:paraId="0B826CDB"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Sample Number*</w:t>
            </w:r>
          </w:p>
        </w:tc>
      </w:tr>
      <w:tr w:rsidR="0033316B" w:rsidRPr="002C7FC2" w14:paraId="6A4ABD24" w14:textId="77777777" w:rsidTr="0033316B">
        <w:trPr>
          <w:trHeight w:val="20"/>
        </w:trPr>
        <w:tc>
          <w:tcPr>
            <w:tcW w:w="916" w:type="pct"/>
            <w:vMerge/>
            <w:tcBorders>
              <w:top w:val="nil"/>
              <w:bottom w:val="single" w:sz="4" w:space="0" w:color="auto"/>
            </w:tcBorders>
            <w:vAlign w:val="center"/>
          </w:tcPr>
          <w:p w14:paraId="233ECA88" w14:textId="77777777" w:rsidR="0033316B" w:rsidRPr="002C7FC2" w:rsidRDefault="0033316B" w:rsidP="0033316B">
            <w:pPr>
              <w:adjustRightInd w:val="0"/>
              <w:snapToGrid w:val="0"/>
              <w:spacing w:line="235" w:lineRule="auto"/>
              <w:jc w:val="center"/>
              <w:rPr>
                <w:rFonts w:ascii="Gill Sans MT" w:hAnsi="Gill Sans MT"/>
                <w:sz w:val="16"/>
                <w:szCs w:val="16"/>
              </w:rPr>
            </w:pPr>
          </w:p>
        </w:tc>
        <w:tc>
          <w:tcPr>
            <w:tcW w:w="510" w:type="pct"/>
            <w:tcBorders>
              <w:top w:val="single" w:sz="4" w:space="0" w:color="auto"/>
              <w:bottom w:val="single" w:sz="4" w:space="0" w:color="auto"/>
            </w:tcBorders>
            <w:vAlign w:val="center"/>
          </w:tcPr>
          <w:p w14:paraId="3AEC7C21"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1</w:t>
            </w:r>
          </w:p>
        </w:tc>
        <w:tc>
          <w:tcPr>
            <w:tcW w:w="510" w:type="pct"/>
            <w:tcBorders>
              <w:top w:val="single" w:sz="4" w:space="0" w:color="auto"/>
              <w:bottom w:val="single" w:sz="4" w:space="0" w:color="auto"/>
            </w:tcBorders>
            <w:vAlign w:val="center"/>
          </w:tcPr>
          <w:p w14:paraId="1D62C4B9"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2</w:t>
            </w:r>
          </w:p>
        </w:tc>
        <w:tc>
          <w:tcPr>
            <w:tcW w:w="510" w:type="pct"/>
            <w:tcBorders>
              <w:top w:val="single" w:sz="4" w:space="0" w:color="auto"/>
              <w:bottom w:val="single" w:sz="4" w:space="0" w:color="auto"/>
            </w:tcBorders>
            <w:vAlign w:val="center"/>
          </w:tcPr>
          <w:p w14:paraId="7121B2AA"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3</w:t>
            </w:r>
          </w:p>
        </w:tc>
        <w:tc>
          <w:tcPr>
            <w:tcW w:w="510" w:type="pct"/>
            <w:tcBorders>
              <w:top w:val="single" w:sz="4" w:space="0" w:color="auto"/>
              <w:bottom w:val="single" w:sz="4" w:space="0" w:color="auto"/>
            </w:tcBorders>
            <w:vAlign w:val="center"/>
          </w:tcPr>
          <w:p w14:paraId="34D00C35"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4</w:t>
            </w:r>
          </w:p>
        </w:tc>
        <w:tc>
          <w:tcPr>
            <w:tcW w:w="510" w:type="pct"/>
            <w:tcBorders>
              <w:top w:val="single" w:sz="4" w:space="0" w:color="auto"/>
              <w:bottom w:val="single" w:sz="4" w:space="0" w:color="auto"/>
            </w:tcBorders>
            <w:vAlign w:val="center"/>
          </w:tcPr>
          <w:p w14:paraId="2C712F30"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5</w:t>
            </w:r>
          </w:p>
        </w:tc>
        <w:tc>
          <w:tcPr>
            <w:tcW w:w="510" w:type="pct"/>
            <w:tcBorders>
              <w:top w:val="single" w:sz="4" w:space="0" w:color="auto"/>
              <w:bottom w:val="single" w:sz="4" w:space="0" w:color="auto"/>
            </w:tcBorders>
            <w:vAlign w:val="center"/>
          </w:tcPr>
          <w:p w14:paraId="0D2C076D"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6</w:t>
            </w:r>
          </w:p>
        </w:tc>
        <w:tc>
          <w:tcPr>
            <w:tcW w:w="510" w:type="pct"/>
            <w:tcBorders>
              <w:top w:val="single" w:sz="4" w:space="0" w:color="auto"/>
              <w:bottom w:val="single" w:sz="4" w:space="0" w:color="auto"/>
            </w:tcBorders>
            <w:vAlign w:val="center"/>
          </w:tcPr>
          <w:p w14:paraId="6D25A2E8"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7</w:t>
            </w:r>
          </w:p>
        </w:tc>
        <w:tc>
          <w:tcPr>
            <w:tcW w:w="510" w:type="pct"/>
            <w:tcBorders>
              <w:top w:val="single" w:sz="4" w:space="0" w:color="auto"/>
              <w:bottom w:val="single" w:sz="4" w:space="0" w:color="auto"/>
            </w:tcBorders>
            <w:vAlign w:val="center"/>
          </w:tcPr>
          <w:p w14:paraId="57E794F7"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8</w:t>
            </w:r>
          </w:p>
        </w:tc>
      </w:tr>
      <w:tr w:rsidR="0033316B" w:rsidRPr="002C7FC2" w14:paraId="3B835AE3" w14:textId="77777777" w:rsidTr="0033316B">
        <w:trPr>
          <w:trHeight w:val="20"/>
        </w:trPr>
        <w:tc>
          <w:tcPr>
            <w:tcW w:w="916" w:type="pct"/>
            <w:tcBorders>
              <w:top w:val="single" w:sz="4" w:space="0" w:color="auto"/>
            </w:tcBorders>
            <w:vAlign w:val="center"/>
          </w:tcPr>
          <w:p w14:paraId="5047001E"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LC0</w:t>
            </w:r>
          </w:p>
        </w:tc>
        <w:tc>
          <w:tcPr>
            <w:tcW w:w="510" w:type="pct"/>
            <w:tcBorders>
              <w:top w:val="single" w:sz="4" w:space="0" w:color="auto"/>
            </w:tcBorders>
            <w:vAlign w:val="center"/>
          </w:tcPr>
          <w:p w14:paraId="4EDC6A45"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0.56±0.04</w:t>
            </w:r>
          </w:p>
        </w:tc>
        <w:tc>
          <w:tcPr>
            <w:tcW w:w="510" w:type="pct"/>
            <w:tcBorders>
              <w:top w:val="single" w:sz="4" w:space="0" w:color="auto"/>
            </w:tcBorders>
            <w:vAlign w:val="center"/>
          </w:tcPr>
          <w:p w14:paraId="78E5BE11"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0.62±0.02</w:t>
            </w:r>
          </w:p>
        </w:tc>
        <w:tc>
          <w:tcPr>
            <w:tcW w:w="510" w:type="pct"/>
            <w:tcBorders>
              <w:top w:val="single" w:sz="4" w:space="0" w:color="auto"/>
            </w:tcBorders>
            <w:vAlign w:val="center"/>
          </w:tcPr>
          <w:p w14:paraId="20B98CB0"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0.48±0.04</w:t>
            </w:r>
          </w:p>
        </w:tc>
        <w:tc>
          <w:tcPr>
            <w:tcW w:w="510" w:type="pct"/>
            <w:tcBorders>
              <w:top w:val="single" w:sz="4" w:space="0" w:color="auto"/>
            </w:tcBorders>
            <w:vAlign w:val="center"/>
          </w:tcPr>
          <w:p w14:paraId="0956EED1"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0.42±0.03</w:t>
            </w:r>
          </w:p>
        </w:tc>
        <w:tc>
          <w:tcPr>
            <w:tcW w:w="510" w:type="pct"/>
            <w:tcBorders>
              <w:top w:val="single" w:sz="4" w:space="0" w:color="auto"/>
            </w:tcBorders>
            <w:vAlign w:val="center"/>
          </w:tcPr>
          <w:p w14:paraId="67148836"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0.52±0.01</w:t>
            </w:r>
          </w:p>
        </w:tc>
        <w:tc>
          <w:tcPr>
            <w:tcW w:w="510" w:type="pct"/>
            <w:tcBorders>
              <w:top w:val="single" w:sz="4" w:space="0" w:color="auto"/>
            </w:tcBorders>
            <w:vAlign w:val="center"/>
          </w:tcPr>
          <w:p w14:paraId="19BA79FA"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0.53±0.04</w:t>
            </w:r>
          </w:p>
        </w:tc>
        <w:tc>
          <w:tcPr>
            <w:tcW w:w="510" w:type="pct"/>
            <w:tcBorders>
              <w:top w:val="single" w:sz="4" w:space="0" w:color="auto"/>
            </w:tcBorders>
            <w:vAlign w:val="center"/>
          </w:tcPr>
          <w:p w14:paraId="21E6370D"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0.64±0.03</w:t>
            </w:r>
          </w:p>
        </w:tc>
        <w:tc>
          <w:tcPr>
            <w:tcW w:w="510" w:type="pct"/>
            <w:tcBorders>
              <w:top w:val="single" w:sz="4" w:space="0" w:color="auto"/>
            </w:tcBorders>
            <w:vAlign w:val="center"/>
          </w:tcPr>
          <w:p w14:paraId="17DAAF4A" w14:textId="77777777" w:rsidR="0033316B" w:rsidRPr="002C7FC2" w:rsidRDefault="0033316B" w:rsidP="0033316B">
            <w:pPr>
              <w:spacing w:line="235" w:lineRule="auto"/>
              <w:jc w:val="center"/>
              <w:textAlignment w:val="bottom"/>
              <w:rPr>
                <w:rFonts w:ascii="Gill Sans MT" w:eastAsia="DengXian" w:hAnsi="Gill Sans MT"/>
                <w:sz w:val="16"/>
                <w:szCs w:val="16"/>
              </w:rPr>
            </w:pPr>
            <w:r w:rsidRPr="002C7FC2">
              <w:rPr>
                <w:rFonts w:ascii="Gill Sans MT" w:eastAsia="DengXian" w:hAnsi="Gill Sans MT"/>
                <w:sz w:val="16"/>
                <w:szCs w:val="16"/>
                <w:lang w:bidi="ar"/>
              </w:rPr>
              <w:t>0.43±0.02</w:t>
            </w:r>
          </w:p>
        </w:tc>
      </w:tr>
      <w:tr w:rsidR="0033316B" w:rsidRPr="002C7FC2" w14:paraId="2CF0F62F" w14:textId="77777777" w:rsidTr="0033316B">
        <w:trPr>
          <w:trHeight w:val="20"/>
        </w:trPr>
        <w:tc>
          <w:tcPr>
            <w:tcW w:w="916" w:type="pct"/>
            <w:vAlign w:val="center"/>
          </w:tcPr>
          <w:p w14:paraId="3942885D"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LC75</w:t>
            </w:r>
          </w:p>
        </w:tc>
        <w:tc>
          <w:tcPr>
            <w:tcW w:w="510" w:type="pct"/>
            <w:vAlign w:val="bottom"/>
          </w:tcPr>
          <w:p w14:paraId="48761FB7"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0.56±0.05</w:t>
            </w:r>
          </w:p>
        </w:tc>
        <w:tc>
          <w:tcPr>
            <w:tcW w:w="510" w:type="pct"/>
            <w:vAlign w:val="bottom"/>
          </w:tcPr>
          <w:p w14:paraId="76AB97B4"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0.67±0.03</w:t>
            </w:r>
          </w:p>
        </w:tc>
        <w:tc>
          <w:tcPr>
            <w:tcW w:w="510" w:type="pct"/>
            <w:vAlign w:val="bottom"/>
          </w:tcPr>
          <w:p w14:paraId="2FE7C7A2"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0.57±0.01</w:t>
            </w:r>
          </w:p>
        </w:tc>
        <w:tc>
          <w:tcPr>
            <w:tcW w:w="510" w:type="pct"/>
            <w:vAlign w:val="bottom"/>
          </w:tcPr>
          <w:p w14:paraId="69E25369"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0.49±0.02</w:t>
            </w:r>
          </w:p>
        </w:tc>
        <w:tc>
          <w:tcPr>
            <w:tcW w:w="510" w:type="pct"/>
            <w:vAlign w:val="bottom"/>
          </w:tcPr>
          <w:p w14:paraId="2AA6E0E0"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0.57±0.01</w:t>
            </w:r>
          </w:p>
        </w:tc>
        <w:tc>
          <w:tcPr>
            <w:tcW w:w="510" w:type="pct"/>
            <w:vAlign w:val="bottom"/>
          </w:tcPr>
          <w:p w14:paraId="5F0DC345"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0.47±0.04</w:t>
            </w:r>
          </w:p>
        </w:tc>
        <w:tc>
          <w:tcPr>
            <w:tcW w:w="510" w:type="pct"/>
            <w:vAlign w:val="bottom"/>
          </w:tcPr>
          <w:p w14:paraId="2E091C5D"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0.45±0.03</w:t>
            </w:r>
          </w:p>
        </w:tc>
        <w:tc>
          <w:tcPr>
            <w:tcW w:w="510" w:type="pct"/>
            <w:vAlign w:val="bottom"/>
          </w:tcPr>
          <w:p w14:paraId="2E91DDA6"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0.64±0.01</w:t>
            </w:r>
          </w:p>
        </w:tc>
      </w:tr>
      <w:tr w:rsidR="0033316B" w:rsidRPr="002C7FC2" w14:paraId="64BE8DF3" w14:textId="77777777" w:rsidTr="0033316B">
        <w:trPr>
          <w:trHeight w:val="20"/>
        </w:trPr>
        <w:tc>
          <w:tcPr>
            <w:tcW w:w="916" w:type="pct"/>
            <w:vAlign w:val="center"/>
          </w:tcPr>
          <w:p w14:paraId="33212A7D"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LC150</w:t>
            </w:r>
          </w:p>
        </w:tc>
        <w:tc>
          <w:tcPr>
            <w:tcW w:w="510" w:type="pct"/>
            <w:vAlign w:val="bottom"/>
          </w:tcPr>
          <w:p w14:paraId="1A67C6D8"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0.94±0.06</w:t>
            </w:r>
          </w:p>
        </w:tc>
        <w:tc>
          <w:tcPr>
            <w:tcW w:w="510" w:type="pct"/>
            <w:vAlign w:val="bottom"/>
          </w:tcPr>
          <w:p w14:paraId="1A44003F"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0.92±0.04</w:t>
            </w:r>
          </w:p>
        </w:tc>
        <w:tc>
          <w:tcPr>
            <w:tcW w:w="510" w:type="pct"/>
            <w:vAlign w:val="bottom"/>
          </w:tcPr>
          <w:p w14:paraId="3DCA3812"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0.84±0.06</w:t>
            </w:r>
          </w:p>
        </w:tc>
        <w:tc>
          <w:tcPr>
            <w:tcW w:w="510" w:type="pct"/>
            <w:vAlign w:val="bottom"/>
          </w:tcPr>
          <w:p w14:paraId="11D5D373"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0.96±0.04</w:t>
            </w:r>
          </w:p>
        </w:tc>
        <w:tc>
          <w:tcPr>
            <w:tcW w:w="510" w:type="pct"/>
            <w:vAlign w:val="bottom"/>
          </w:tcPr>
          <w:p w14:paraId="531D8C23"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1.1±0.15</w:t>
            </w:r>
          </w:p>
        </w:tc>
        <w:tc>
          <w:tcPr>
            <w:tcW w:w="510" w:type="pct"/>
            <w:vAlign w:val="bottom"/>
          </w:tcPr>
          <w:p w14:paraId="2F95FEBF"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0.95±0.07</w:t>
            </w:r>
          </w:p>
        </w:tc>
        <w:tc>
          <w:tcPr>
            <w:tcW w:w="510" w:type="pct"/>
            <w:vAlign w:val="bottom"/>
          </w:tcPr>
          <w:p w14:paraId="285AABAC"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0.74±0.12</w:t>
            </w:r>
          </w:p>
        </w:tc>
        <w:tc>
          <w:tcPr>
            <w:tcW w:w="510" w:type="pct"/>
            <w:vAlign w:val="bottom"/>
          </w:tcPr>
          <w:p w14:paraId="3978A77F"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0.86±0.07</w:t>
            </w:r>
          </w:p>
        </w:tc>
      </w:tr>
      <w:tr w:rsidR="0033316B" w:rsidRPr="002C7FC2" w14:paraId="136821AC" w14:textId="77777777" w:rsidTr="0033316B">
        <w:trPr>
          <w:trHeight w:val="20"/>
        </w:trPr>
        <w:tc>
          <w:tcPr>
            <w:tcW w:w="916" w:type="pct"/>
            <w:vAlign w:val="center"/>
          </w:tcPr>
          <w:p w14:paraId="7D5882CF"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LC300</w:t>
            </w:r>
          </w:p>
        </w:tc>
        <w:tc>
          <w:tcPr>
            <w:tcW w:w="510" w:type="pct"/>
            <w:vAlign w:val="bottom"/>
          </w:tcPr>
          <w:p w14:paraId="479F2FBE"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0.76±0.05</w:t>
            </w:r>
          </w:p>
        </w:tc>
        <w:tc>
          <w:tcPr>
            <w:tcW w:w="510" w:type="pct"/>
            <w:vAlign w:val="bottom"/>
          </w:tcPr>
          <w:p w14:paraId="40F75F45"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0.88±0.06</w:t>
            </w:r>
          </w:p>
        </w:tc>
        <w:tc>
          <w:tcPr>
            <w:tcW w:w="510" w:type="pct"/>
            <w:vAlign w:val="bottom"/>
          </w:tcPr>
          <w:p w14:paraId="6D0EAC56"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0.73±0.04</w:t>
            </w:r>
          </w:p>
        </w:tc>
        <w:tc>
          <w:tcPr>
            <w:tcW w:w="510" w:type="pct"/>
            <w:vAlign w:val="bottom"/>
          </w:tcPr>
          <w:p w14:paraId="66F64A03"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0.85±0.07</w:t>
            </w:r>
          </w:p>
        </w:tc>
        <w:tc>
          <w:tcPr>
            <w:tcW w:w="510" w:type="pct"/>
            <w:vAlign w:val="bottom"/>
          </w:tcPr>
          <w:p w14:paraId="11824F27"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0.75±0.02</w:t>
            </w:r>
          </w:p>
        </w:tc>
        <w:tc>
          <w:tcPr>
            <w:tcW w:w="510" w:type="pct"/>
            <w:vAlign w:val="bottom"/>
          </w:tcPr>
          <w:p w14:paraId="4F233A86"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0.72±0.04</w:t>
            </w:r>
          </w:p>
        </w:tc>
        <w:tc>
          <w:tcPr>
            <w:tcW w:w="510" w:type="pct"/>
            <w:vAlign w:val="bottom"/>
          </w:tcPr>
          <w:p w14:paraId="1588F8BB"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0.85±0.06</w:t>
            </w:r>
          </w:p>
        </w:tc>
        <w:tc>
          <w:tcPr>
            <w:tcW w:w="510" w:type="pct"/>
            <w:vAlign w:val="bottom"/>
          </w:tcPr>
          <w:p w14:paraId="42BACD70"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0.87±0.05</w:t>
            </w:r>
          </w:p>
        </w:tc>
      </w:tr>
      <w:tr w:rsidR="0033316B" w:rsidRPr="002C7FC2" w14:paraId="05880D3A" w14:textId="77777777" w:rsidTr="0033316B">
        <w:trPr>
          <w:trHeight w:val="20"/>
        </w:trPr>
        <w:tc>
          <w:tcPr>
            <w:tcW w:w="916" w:type="pct"/>
            <w:vAlign w:val="center"/>
          </w:tcPr>
          <w:p w14:paraId="1CE0911D" w14:textId="77777777" w:rsidR="0033316B" w:rsidRPr="002C7FC2" w:rsidRDefault="0033316B" w:rsidP="0033316B">
            <w:pPr>
              <w:adjustRightInd w:val="0"/>
              <w:snapToGrid w:val="0"/>
              <w:spacing w:line="235" w:lineRule="auto"/>
              <w:jc w:val="center"/>
              <w:rPr>
                <w:rFonts w:ascii="Gill Sans MT" w:hAnsi="Gill Sans MT"/>
                <w:sz w:val="16"/>
                <w:szCs w:val="16"/>
              </w:rPr>
            </w:pPr>
            <w:r w:rsidRPr="002C7FC2">
              <w:rPr>
                <w:rFonts w:ascii="Gill Sans MT" w:hAnsi="Gill Sans MT"/>
                <w:sz w:val="16"/>
                <w:szCs w:val="16"/>
              </w:rPr>
              <w:t>Lc450</w:t>
            </w:r>
          </w:p>
        </w:tc>
        <w:tc>
          <w:tcPr>
            <w:tcW w:w="510" w:type="pct"/>
            <w:vAlign w:val="bottom"/>
          </w:tcPr>
          <w:p w14:paraId="6E2BBFE7"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0.86±0.04</w:t>
            </w:r>
          </w:p>
        </w:tc>
        <w:tc>
          <w:tcPr>
            <w:tcW w:w="510" w:type="pct"/>
            <w:vAlign w:val="bottom"/>
          </w:tcPr>
          <w:p w14:paraId="1F6DEDDE"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0.88±0.06</w:t>
            </w:r>
          </w:p>
        </w:tc>
        <w:tc>
          <w:tcPr>
            <w:tcW w:w="510" w:type="pct"/>
            <w:vAlign w:val="bottom"/>
          </w:tcPr>
          <w:p w14:paraId="574B1552"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0.88±0.05</w:t>
            </w:r>
          </w:p>
        </w:tc>
        <w:tc>
          <w:tcPr>
            <w:tcW w:w="510" w:type="pct"/>
            <w:vAlign w:val="bottom"/>
          </w:tcPr>
          <w:p w14:paraId="767DC30D"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0.88±0.04</w:t>
            </w:r>
          </w:p>
        </w:tc>
        <w:tc>
          <w:tcPr>
            <w:tcW w:w="510" w:type="pct"/>
            <w:vAlign w:val="bottom"/>
          </w:tcPr>
          <w:p w14:paraId="51B0C8E0"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0.82±0.06</w:t>
            </w:r>
          </w:p>
        </w:tc>
        <w:tc>
          <w:tcPr>
            <w:tcW w:w="510" w:type="pct"/>
            <w:vAlign w:val="bottom"/>
          </w:tcPr>
          <w:p w14:paraId="06171CA9"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0.71±0.05</w:t>
            </w:r>
          </w:p>
        </w:tc>
        <w:tc>
          <w:tcPr>
            <w:tcW w:w="510" w:type="pct"/>
            <w:vAlign w:val="bottom"/>
          </w:tcPr>
          <w:p w14:paraId="3FB3265C"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0.92±0.06</w:t>
            </w:r>
          </w:p>
        </w:tc>
        <w:tc>
          <w:tcPr>
            <w:tcW w:w="510" w:type="pct"/>
            <w:vAlign w:val="bottom"/>
          </w:tcPr>
          <w:p w14:paraId="56D35C48" w14:textId="77777777" w:rsidR="0033316B" w:rsidRPr="002C7FC2" w:rsidRDefault="0033316B" w:rsidP="0033316B">
            <w:pPr>
              <w:spacing w:line="235" w:lineRule="auto"/>
              <w:jc w:val="center"/>
              <w:textAlignment w:val="bottom"/>
              <w:rPr>
                <w:rFonts w:ascii="Gill Sans MT" w:eastAsia="DengXian" w:hAnsi="Gill Sans MT"/>
                <w:sz w:val="16"/>
                <w:szCs w:val="16"/>
                <w:lang w:bidi="ar"/>
              </w:rPr>
            </w:pPr>
            <w:r w:rsidRPr="002C7FC2">
              <w:rPr>
                <w:rFonts w:ascii="Gill Sans MT" w:eastAsia="DengXian" w:hAnsi="Gill Sans MT"/>
                <w:sz w:val="16"/>
                <w:szCs w:val="16"/>
                <w:lang w:bidi="ar"/>
              </w:rPr>
              <w:t>0.78±0.04</w:t>
            </w:r>
          </w:p>
        </w:tc>
      </w:tr>
    </w:tbl>
    <w:p w14:paraId="38B93D3F" w14:textId="4F702018" w:rsidR="006A7DAE" w:rsidRDefault="0033316B" w:rsidP="0033316B">
      <w:pPr>
        <w:adjustRightInd w:val="0"/>
        <w:snapToGrid w:val="0"/>
        <w:spacing w:line="235" w:lineRule="auto"/>
        <w:jc w:val="both"/>
        <w:rPr>
          <w:b/>
          <w:bCs/>
          <w:sz w:val="20"/>
          <w:szCs w:val="20"/>
        </w:rPr>
      </w:pPr>
      <w:r w:rsidRPr="002C7FC2">
        <w:rPr>
          <w:rFonts w:ascii="Gill Sans MT" w:hAnsi="Gill Sans MT"/>
          <w:sz w:val="16"/>
          <w:szCs w:val="16"/>
        </w:rPr>
        <w:t>*Samples 1-8 were collected at different time points.</w:t>
      </w:r>
    </w:p>
    <w:p w14:paraId="0B437B7E" w14:textId="77777777" w:rsidR="0033316B" w:rsidRDefault="0033316B" w:rsidP="006A7DAE">
      <w:pPr>
        <w:adjustRightInd w:val="0"/>
        <w:snapToGrid w:val="0"/>
        <w:jc w:val="both"/>
        <w:rPr>
          <w:b/>
          <w:bCs/>
          <w:sz w:val="20"/>
          <w:szCs w:val="20"/>
        </w:rPr>
        <w:sectPr w:rsidR="0033316B" w:rsidSect="0033316B">
          <w:type w:val="continuous"/>
          <w:pgSz w:w="11909" w:h="16834" w:code="9"/>
          <w:pgMar w:top="1080" w:right="1080" w:bottom="1080" w:left="1080" w:header="720" w:footer="720" w:gutter="0"/>
          <w:cols w:space="360"/>
          <w:docGrid w:linePitch="360"/>
        </w:sectPr>
      </w:pPr>
    </w:p>
    <w:p w14:paraId="3A8C3DE0" w14:textId="29FC77BA" w:rsidR="006A7DAE" w:rsidRPr="002C7FC2" w:rsidRDefault="006A7DAE" w:rsidP="006A7DAE">
      <w:pPr>
        <w:adjustRightInd w:val="0"/>
        <w:snapToGrid w:val="0"/>
        <w:jc w:val="both"/>
        <w:rPr>
          <w:b/>
          <w:bCs/>
          <w:sz w:val="20"/>
          <w:szCs w:val="20"/>
        </w:rPr>
      </w:pPr>
      <w:r w:rsidRPr="002C7FC2">
        <w:rPr>
          <w:b/>
          <w:bCs/>
          <w:sz w:val="20"/>
          <w:szCs w:val="20"/>
        </w:rPr>
        <w:lastRenderedPageBreak/>
        <w:t xml:space="preserve">Flow Cytometric assessments: </w:t>
      </w:r>
      <w:r w:rsidRPr="002C7FC2">
        <w:rPr>
          <w:rFonts w:eastAsia="Segoe UI"/>
          <w:sz w:val="20"/>
          <w:szCs w:val="20"/>
          <w:shd w:val="clear" w:color="auto" w:fill="FFFFFF"/>
        </w:rPr>
        <w:t>Acrosomal membrane integrity, plasma membrane integrity, mitochondrial membrane potential (MMP), and apoptosis rate were each assessed using 200μL of fresh semen.</w:t>
      </w:r>
      <w:r w:rsidRPr="002C7FC2">
        <w:rPr>
          <w:b/>
          <w:bCs/>
          <w:sz w:val="20"/>
          <w:szCs w:val="20"/>
        </w:rPr>
        <w:t xml:space="preserve"> </w:t>
      </w:r>
      <w:r w:rsidRPr="002C7FC2">
        <w:rPr>
          <w:sz w:val="20"/>
          <w:szCs w:val="20"/>
        </w:rPr>
        <w:t>After centrifugation of the fresh semen at 300×g for 5 minutes, the supernatant was discarded. The sperm pellet was washed twice with PBS and finally resuspended the cells in 1×PBS at a concentration of 1×10</w:t>
      </w:r>
      <w:r w:rsidRPr="002C7FC2">
        <w:rPr>
          <w:sz w:val="20"/>
          <w:szCs w:val="20"/>
          <w:vertAlign w:val="superscript"/>
        </w:rPr>
        <w:t>6</w:t>
      </w:r>
      <w:r w:rsidRPr="002C7FC2">
        <w:rPr>
          <w:sz w:val="20"/>
          <w:szCs w:val="20"/>
        </w:rPr>
        <w:t xml:space="preserve"> cells/</w:t>
      </w:r>
      <w:proofErr w:type="spellStart"/>
      <w:r w:rsidRPr="002C7FC2">
        <w:rPr>
          <w:sz w:val="20"/>
          <w:szCs w:val="20"/>
        </w:rPr>
        <w:t>mL.</w:t>
      </w:r>
      <w:proofErr w:type="spellEnd"/>
      <w:r w:rsidRPr="002C7FC2">
        <w:rPr>
          <w:sz w:val="20"/>
          <w:szCs w:val="20"/>
        </w:rPr>
        <w:t xml:space="preserve"> Subsequently, the required tests were performed according to the specified indicators. Acrosomal membrane integrity was evaluated using dual-fluorescence methodology and the flow cytometry according to the description of </w:t>
      </w:r>
      <w:r w:rsidRPr="00C62FFF">
        <w:rPr>
          <w:color w:val="2E74B5" w:themeColor="accent1" w:themeShade="BF"/>
          <w:sz w:val="20"/>
          <w:szCs w:val="20"/>
        </w:rPr>
        <w:t>Hu</w:t>
      </w:r>
      <w:r w:rsidRPr="002C7FC2">
        <w:rPr>
          <w:sz w:val="20"/>
          <w:szCs w:val="20"/>
        </w:rPr>
        <w:t xml:space="preserve"> </w:t>
      </w:r>
      <w:r w:rsidRPr="002C7FC2">
        <w:rPr>
          <w:i/>
          <w:iCs/>
          <w:sz w:val="20"/>
          <w:szCs w:val="20"/>
        </w:rPr>
        <w:t>et al.</w:t>
      </w:r>
      <w:r w:rsidRPr="002C7FC2">
        <w:rPr>
          <w:sz w:val="20"/>
          <w:szCs w:val="20"/>
        </w:rPr>
        <w:t xml:space="preserve"> (2022), and it was assessed via dual staining with PNA-FITC (PNA-FITC, 1mg/mL, Sigma-Aldrich, USA) and propidium iodide (PI, 50μg/mL, Sigma-Aldrich). Plasma membrane integrity was examined using SYBR-14/PI (Live/Dead® Sperm Viability Kit, Sigma-Aldrich, USA) staining according to Li </w:t>
      </w:r>
      <w:r w:rsidRPr="002C7FC2">
        <w:rPr>
          <w:i/>
          <w:iCs/>
          <w:sz w:val="20"/>
          <w:szCs w:val="20"/>
        </w:rPr>
        <w:t>et al.</w:t>
      </w:r>
      <w:r w:rsidRPr="002C7FC2">
        <w:rPr>
          <w:sz w:val="20"/>
          <w:szCs w:val="20"/>
        </w:rPr>
        <w:t xml:space="preserve"> (2024). Mitochondrial membrane potential (MMP) was measured using JC-1 dye (JC-1 Mitochondrial Membrane Potential Assay Kit, </w:t>
      </w:r>
      <w:proofErr w:type="spellStart"/>
      <w:r w:rsidRPr="002C7FC2">
        <w:rPr>
          <w:sz w:val="20"/>
          <w:szCs w:val="20"/>
        </w:rPr>
        <w:t>Beyotime</w:t>
      </w:r>
      <w:proofErr w:type="spellEnd"/>
      <w:r w:rsidRPr="002C7FC2">
        <w:rPr>
          <w:sz w:val="20"/>
          <w:szCs w:val="20"/>
        </w:rPr>
        <w:t>, China), where high MMP (orange fluorescence) and low MMP (green fluorescence) were quantified (</w:t>
      </w:r>
      <w:r w:rsidRPr="00C62FFF">
        <w:rPr>
          <w:color w:val="2E74B5" w:themeColor="accent1" w:themeShade="BF"/>
          <w:sz w:val="20"/>
          <w:szCs w:val="20"/>
        </w:rPr>
        <w:t>Abdelnour</w:t>
      </w:r>
      <w:r w:rsidRPr="002C7FC2">
        <w:rPr>
          <w:sz w:val="20"/>
          <w:szCs w:val="20"/>
        </w:rPr>
        <w:t xml:space="preserve"> </w:t>
      </w:r>
      <w:r w:rsidRPr="002C7FC2">
        <w:rPr>
          <w:i/>
          <w:iCs/>
          <w:sz w:val="20"/>
          <w:szCs w:val="20"/>
        </w:rPr>
        <w:t>et al.</w:t>
      </w:r>
      <w:r w:rsidRPr="002C7FC2">
        <w:rPr>
          <w:sz w:val="20"/>
          <w:szCs w:val="20"/>
        </w:rPr>
        <w:t>, 2022). Apoptotic changes were detected using Annexin V PE/7-AAD (</w:t>
      </w:r>
      <w:proofErr w:type="spellStart"/>
      <w:r w:rsidRPr="002C7FC2">
        <w:rPr>
          <w:sz w:val="20"/>
          <w:szCs w:val="20"/>
        </w:rPr>
        <w:t>eBioscience</w:t>
      </w:r>
      <w:proofErr w:type="spellEnd"/>
      <w:r w:rsidRPr="002C7FC2">
        <w:rPr>
          <w:sz w:val="20"/>
          <w:szCs w:val="20"/>
        </w:rPr>
        <w:t xml:space="preserve">™ </w:t>
      </w:r>
      <w:proofErr w:type="spellStart"/>
      <w:r w:rsidRPr="002C7FC2">
        <w:rPr>
          <w:sz w:val="20"/>
          <w:szCs w:val="20"/>
        </w:rPr>
        <w:t>Annexin</w:t>
      </w:r>
      <w:proofErr w:type="spellEnd"/>
      <w:r w:rsidRPr="002C7FC2">
        <w:rPr>
          <w:sz w:val="20"/>
          <w:szCs w:val="20"/>
        </w:rPr>
        <w:t xml:space="preserve"> V Apoptosis Detection Kit PE, Invitrogen, USA) staining to distinguish early and late apoptotic sperm (</w:t>
      </w:r>
      <w:r w:rsidRPr="00C62FFF">
        <w:rPr>
          <w:color w:val="2E74B5" w:themeColor="accent1" w:themeShade="BF"/>
          <w:sz w:val="20"/>
          <w:szCs w:val="20"/>
        </w:rPr>
        <w:t>Peña</w:t>
      </w:r>
      <w:r w:rsidRPr="002C7FC2">
        <w:rPr>
          <w:sz w:val="20"/>
          <w:szCs w:val="20"/>
        </w:rPr>
        <w:t xml:space="preserve"> </w:t>
      </w:r>
      <w:r w:rsidRPr="002C7FC2">
        <w:rPr>
          <w:i/>
          <w:iCs/>
          <w:sz w:val="20"/>
          <w:szCs w:val="20"/>
        </w:rPr>
        <w:t>et al.</w:t>
      </w:r>
      <w:r w:rsidRPr="002C7FC2">
        <w:rPr>
          <w:sz w:val="20"/>
          <w:szCs w:val="20"/>
        </w:rPr>
        <w:t>, 2003).</w:t>
      </w:r>
      <w:r w:rsidRPr="002C7FC2">
        <w:rPr>
          <w:rStyle w:val="CommentReference"/>
          <w:sz w:val="20"/>
          <w:szCs w:val="20"/>
        </w:rPr>
        <w:t xml:space="preserve"> </w:t>
      </w:r>
    </w:p>
    <w:p w14:paraId="3898039C" w14:textId="77777777" w:rsidR="006A7DAE" w:rsidRDefault="006A7DAE" w:rsidP="006A7DAE">
      <w:pPr>
        <w:adjustRightInd w:val="0"/>
        <w:snapToGrid w:val="0"/>
        <w:jc w:val="both"/>
        <w:rPr>
          <w:b/>
          <w:bCs/>
          <w:sz w:val="20"/>
          <w:szCs w:val="20"/>
        </w:rPr>
      </w:pPr>
    </w:p>
    <w:p w14:paraId="312E9B1C" w14:textId="4925576E" w:rsidR="006A7DAE" w:rsidRPr="00C60047" w:rsidRDefault="006A7DAE" w:rsidP="006A7DAE">
      <w:pPr>
        <w:adjustRightInd w:val="0"/>
        <w:snapToGrid w:val="0"/>
        <w:jc w:val="both"/>
        <w:rPr>
          <w:rStyle w:val="CommentReference"/>
          <w:spacing w:val="2"/>
          <w:sz w:val="20"/>
          <w:szCs w:val="20"/>
        </w:rPr>
      </w:pPr>
      <w:r w:rsidRPr="00C60047">
        <w:rPr>
          <w:b/>
          <w:bCs/>
          <w:spacing w:val="2"/>
          <w:sz w:val="20"/>
          <w:szCs w:val="20"/>
        </w:rPr>
        <w:t xml:space="preserve">Oxidative stress and antioxidant capacity: </w:t>
      </w:r>
      <w:r w:rsidRPr="00C60047">
        <w:rPr>
          <w:spacing w:val="2"/>
          <w:sz w:val="20"/>
          <w:szCs w:val="20"/>
        </w:rPr>
        <w:t xml:space="preserve">After centrifugation of the fresh semen at 300×g for 5 minutes, seminal plasma and sperm were collected separately, 200uL of sperm and seminal plasma were separately used to measure the level of ROS. The remaining samples were stored at -80℃for the subsequent detection of antioxidant capacity. Then the levels of ROS in both sperm and seminal plasma were measured separately according to the method described by </w:t>
      </w:r>
      <w:r w:rsidRPr="00C62FFF">
        <w:rPr>
          <w:color w:val="2E74B5" w:themeColor="accent1" w:themeShade="BF"/>
          <w:spacing w:val="2"/>
          <w:sz w:val="20"/>
          <w:szCs w:val="20"/>
        </w:rPr>
        <w:t>Liu</w:t>
      </w:r>
      <w:r w:rsidRPr="00C60047">
        <w:rPr>
          <w:spacing w:val="2"/>
          <w:sz w:val="20"/>
          <w:szCs w:val="20"/>
        </w:rPr>
        <w:t xml:space="preserve"> </w:t>
      </w:r>
      <w:r w:rsidRPr="00C60047">
        <w:rPr>
          <w:i/>
          <w:iCs/>
          <w:spacing w:val="2"/>
          <w:sz w:val="20"/>
          <w:szCs w:val="20"/>
        </w:rPr>
        <w:t>et al.</w:t>
      </w:r>
      <w:r w:rsidRPr="00C60047">
        <w:rPr>
          <w:spacing w:val="2"/>
          <w:sz w:val="20"/>
          <w:szCs w:val="20"/>
        </w:rPr>
        <w:t xml:space="preserve"> (2014) and </w:t>
      </w:r>
      <w:r w:rsidRPr="00C62FFF">
        <w:rPr>
          <w:color w:val="2E74B5" w:themeColor="accent1" w:themeShade="BF"/>
          <w:spacing w:val="2"/>
          <w:sz w:val="20"/>
          <w:szCs w:val="20"/>
        </w:rPr>
        <w:t>Mane</w:t>
      </w:r>
      <w:r w:rsidRPr="00C60047">
        <w:rPr>
          <w:spacing w:val="2"/>
          <w:sz w:val="20"/>
          <w:szCs w:val="20"/>
        </w:rPr>
        <w:t xml:space="preserve"> </w:t>
      </w:r>
      <w:r w:rsidRPr="00C60047">
        <w:rPr>
          <w:i/>
          <w:iCs/>
          <w:spacing w:val="2"/>
          <w:sz w:val="20"/>
          <w:szCs w:val="20"/>
        </w:rPr>
        <w:t>et al.</w:t>
      </w:r>
      <w:r w:rsidRPr="00C60047">
        <w:rPr>
          <w:spacing w:val="2"/>
          <w:sz w:val="20"/>
          <w:szCs w:val="20"/>
        </w:rPr>
        <w:t xml:space="preserve"> (2022). The optical density (OD) values of each group at 650nm were determined using a microplate reader, and the results were expressed as NBT reduction. This assay kit was purchased from </w:t>
      </w:r>
      <w:proofErr w:type="spellStart"/>
      <w:r w:rsidRPr="00C60047">
        <w:rPr>
          <w:spacing w:val="2"/>
          <w:sz w:val="20"/>
          <w:szCs w:val="20"/>
        </w:rPr>
        <w:t>Genmed</w:t>
      </w:r>
      <w:proofErr w:type="spellEnd"/>
      <w:r w:rsidRPr="00C60047">
        <w:rPr>
          <w:spacing w:val="2"/>
          <w:sz w:val="20"/>
          <w:szCs w:val="20"/>
        </w:rPr>
        <w:t xml:space="preserve"> Scientifics, USA. Malondialdehyde (MDA) contents were determined as a lipid peroxidation marker, as described earlier (</w:t>
      </w:r>
      <w:r w:rsidRPr="005F3854">
        <w:rPr>
          <w:color w:val="2E74B5" w:themeColor="accent1" w:themeShade="BF"/>
          <w:spacing w:val="2"/>
          <w:sz w:val="20"/>
          <w:szCs w:val="20"/>
        </w:rPr>
        <w:t>Zhang</w:t>
      </w:r>
      <w:r w:rsidRPr="00C60047">
        <w:rPr>
          <w:spacing w:val="2"/>
          <w:sz w:val="20"/>
          <w:szCs w:val="20"/>
        </w:rPr>
        <w:t xml:space="preserve"> </w:t>
      </w:r>
      <w:r w:rsidRPr="00C60047">
        <w:rPr>
          <w:i/>
          <w:iCs/>
          <w:spacing w:val="2"/>
          <w:sz w:val="20"/>
          <w:szCs w:val="20"/>
        </w:rPr>
        <w:t>et al.</w:t>
      </w:r>
      <w:r w:rsidRPr="00C60047">
        <w:rPr>
          <w:spacing w:val="2"/>
          <w:sz w:val="20"/>
          <w:szCs w:val="20"/>
        </w:rPr>
        <w:t>, 2022). Antioxidant enzyme activities (SOD, CAT, GSH-</w:t>
      </w:r>
      <w:proofErr w:type="spellStart"/>
      <w:r w:rsidRPr="00C60047">
        <w:rPr>
          <w:spacing w:val="2"/>
          <w:sz w:val="20"/>
          <w:szCs w:val="20"/>
        </w:rPr>
        <w:t>Px</w:t>
      </w:r>
      <w:proofErr w:type="spellEnd"/>
      <w:r w:rsidRPr="00C60047">
        <w:rPr>
          <w:spacing w:val="2"/>
          <w:sz w:val="20"/>
          <w:szCs w:val="20"/>
        </w:rPr>
        <w:t xml:space="preserve">) and total antioxidant capacity (T-AOC) were analyzed using commercial kits (Nanjing </w:t>
      </w:r>
      <w:proofErr w:type="spellStart"/>
      <w:r w:rsidRPr="00C60047">
        <w:rPr>
          <w:spacing w:val="2"/>
          <w:sz w:val="20"/>
          <w:szCs w:val="20"/>
        </w:rPr>
        <w:t>Jiancheng</w:t>
      </w:r>
      <w:proofErr w:type="spellEnd"/>
      <w:r w:rsidRPr="00C60047">
        <w:rPr>
          <w:spacing w:val="2"/>
          <w:sz w:val="20"/>
          <w:szCs w:val="20"/>
        </w:rPr>
        <w:t xml:space="preserve"> Bioengineering Institute</w:t>
      </w:r>
      <w:r w:rsidRPr="00C60047">
        <w:rPr>
          <w:rStyle w:val="CommentReference"/>
          <w:spacing w:val="2"/>
          <w:sz w:val="20"/>
          <w:szCs w:val="20"/>
        </w:rPr>
        <w:t>)</w:t>
      </w:r>
      <w:r w:rsidRPr="00C60047">
        <w:rPr>
          <w:spacing w:val="2"/>
          <w:sz w:val="20"/>
          <w:szCs w:val="20"/>
        </w:rPr>
        <w:t xml:space="preserve">, based on the method described by </w:t>
      </w:r>
      <w:r w:rsidRPr="00C62FFF">
        <w:rPr>
          <w:color w:val="2E74B5" w:themeColor="accent1" w:themeShade="BF"/>
          <w:spacing w:val="2"/>
          <w:sz w:val="20"/>
          <w:szCs w:val="20"/>
        </w:rPr>
        <w:t>Jimoh</w:t>
      </w:r>
      <w:r w:rsidRPr="00C60047">
        <w:rPr>
          <w:spacing w:val="2"/>
          <w:sz w:val="20"/>
          <w:szCs w:val="20"/>
        </w:rPr>
        <w:t xml:space="preserve"> </w:t>
      </w:r>
      <w:r w:rsidRPr="00C60047">
        <w:rPr>
          <w:i/>
          <w:iCs/>
          <w:spacing w:val="2"/>
          <w:sz w:val="20"/>
          <w:szCs w:val="20"/>
        </w:rPr>
        <w:t>et al.</w:t>
      </w:r>
      <w:r w:rsidRPr="00C60047">
        <w:rPr>
          <w:spacing w:val="2"/>
          <w:sz w:val="20"/>
          <w:szCs w:val="20"/>
        </w:rPr>
        <w:t xml:space="preserve"> (2023). For the assays of MDA, SOD, CAT, GSH-</w:t>
      </w:r>
      <w:proofErr w:type="spellStart"/>
      <w:r w:rsidRPr="00C60047">
        <w:rPr>
          <w:spacing w:val="2"/>
          <w:sz w:val="20"/>
          <w:szCs w:val="20"/>
        </w:rPr>
        <w:t>Px</w:t>
      </w:r>
      <w:proofErr w:type="spellEnd"/>
      <w:r w:rsidRPr="00C60047">
        <w:rPr>
          <w:spacing w:val="2"/>
          <w:sz w:val="20"/>
          <w:szCs w:val="20"/>
        </w:rPr>
        <w:t>, and T-AOC, seminal plasma was tested directly using sample volumes of 100, 20, 100, 200 and 10</w:t>
      </w:r>
      <w:r w:rsidRPr="00C60047">
        <w:rPr>
          <w:rStyle w:val="CommentReference"/>
          <w:rFonts w:eastAsia="Segoe UI"/>
          <w:spacing w:val="2"/>
          <w:sz w:val="20"/>
          <w:szCs w:val="20"/>
          <w:shd w:val="clear" w:color="auto" w:fill="FFFFFF"/>
        </w:rPr>
        <w:t>μL</w:t>
      </w:r>
      <w:r w:rsidRPr="00C60047">
        <w:rPr>
          <w:spacing w:val="2"/>
          <w:sz w:val="20"/>
          <w:szCs w:val="20"/>
        </w:rPr>
        <w:t>, respectively. Sperm samples were adjusted to a concentration of 1×10</w:t>
      </w:r>
      <w:r w:rsidRPr="00C60047">
        <w:rPr>
          <w:spacing w:val="2"/>
          <w:sz w:val="20"/>
          <w:szCs w:val="20"/>
          <w:vertAlign w:val="superscript"/>
        </w:rPr>
        <w:t xml:space="preserve">6 </w:t>
      </w:r>
      <w:r w:rsidRPr="00C60047">
        <w:rPr>
          <w:spacing w:val="2"/>
          <w:sz w:val="20"/>
          <w:szCs w:val="20"/>
        </w:rPr>
        <w:t>sperm/mL using PBS prior to testing, and the same corresponding volumes were used for each assay as indicated for seminal plasma.</w:t>
      </w:r>
    </w:p>
    <w:p w14:paraId="3AE4C963" w14:textId="77777777" w:rsidR="006A7DAE" w:rsidRDefault="006A7DAE" w:rsidP="006A7DAE">
      <w:pPr>
        <w:adjustRightInd w:val="0"/>
        <w:snapToGrid w:val="0"/>
        <w:jc w:val="both"/>
        <w:rPr>
          <w:b/>
          <w:bCs/>
          <w:sz w:val="20"/>
          <w:szCs w:val="20"/>
        </w:rPr>
      </w:pPr>
    </w:p>
    <w:p w14:paraId="640147C1" w14:textId="3ACF39AF" w:rsidR="006A7DAE" w:rsidRPr="00C60047" w:rsidRDefault="006A7DAE" w:rsidP="006A7DAE">
      <w:pPr>
        <w:adjustRightInd w:val="0"/>
        <w:snapToGrid w:val="0"/>
        <w:jc w:val="both"/>
        <w:rPr>
          <w:rStyle w:val="CommentReference"/>
          <w:spacing w:val="2"/>
          <w:sz w:val="20"/>
          <w:szCs w:val="20"/>
        </w:rPr>
      </w:pPr>
      <w:r w:rsidRPr="00C60047">
        <w:rPr>
          <w:b/>
          <w:bCs/>
          <w:spacing w:val="2"/>
          <w:sz w:val="20"/>
          <w:szCs w:val="20"/>
        </w:rPr>
        <w:t xml:space="preserve">L-carnitine content and gene expression: </w:t>
      </w:r>
      <w:r w:rsidRPr="00C60047">
        <w:rPr>
          <w:spacing w:val="2"/>
          <w:sz w:val="20"/>
          <w:szCs w:val="20"/>
        </w:rPr>
        <w:t>Seminal plasma was obtained by centrifugation of 200</w:t>
      </w:r>
      <w:r w:rsidRPr="00C60047">
        <w:rPr>
          <w:rFonts w:eastAsia="Segoe UI"/>
          <w:spacing w:val="2"/>
          <w:sz w:val="20"/>
          <w:szCs w:val="20"/>
          <w:shd w:val="clear" w:color="auto" w:fill="FFFFFF"/>
        </w:rPr>
        <w:t>μL</w:t>
      </w:r>
      <w:r w:rsidRPr="00C60047">
        <w:rPr>
          <w:spacing w:val="2"/>
          <w:sz w:val="20"/>
          <w:szCs w:val="20"/>
        </w:rPr>
        <w:t xml:space="preserve"> of fresh semen at 300×g for 5 minutes at room temperature under standardized conditions. </w:t>
      </w:r>
      <w:r w:rsidRPr="00C60047">
        <w:rPr>
          <w:rFonts w:eastAsia="Segoe UI"/>
          <w:spacing w:val="2"/>
          <w:sz w:val="20"/>
          <w:szCs w:val="20"/>
          <w:shd w:val="clear" w:color="auto" w:fill="FFFFFF"/>
        </w:rPr>
        <w:t>The collected seminal plasma was stored at –80 °C until further analysis for L</w:t>
      </w:r>
      <w:r w:rsidRPr="00C60047">
        <w:rPr>
          <w:spacing w:val="2"/>
          <w:sz w:val="20"/>
          <w:szCs w:val="20"/>
          <w:shd w:val="clear" w:color="auto" w:fill="FFFFFF"/>
        </w:rPr>
        <w:t>C</w:t>
      </w:r>
      <w:r w:rsidRPr="00C60047">
        <w:rPr>
          <w:rFonts w:eastAsia="Segoe UI"/>
          <w:spacing w:val="2"/>
          <w:sz w:val="20"/>
          <w:szCs w:val="20"/>
          <w:shd w:val="clear" w:color="auto" w:fill="FFFFFF"/>
        </w:rPr>
        <w:t xml:space="preserve"> con</w:t>
      </w:r>
      <w:r w:rsidRPr="00C60047">
        <w:rPr>
          <w:spacing w:val="2"/>
          <w:sz w:val="20"/>
          <w:szCs w:val="20"/>
          <w:shd w:val="clear" w:color="auto" w:fill="FFFFFF"/>
        </w:rPr>
        <w:t>tent.</w:t>
      </w:r>
      <w:r w:rsidRPr="00C60047">
        <w:rPr>
          <w:rFonts w:eastAsia="Segoe UI"/>
          <w:spacing w:val="2"/>
          <w:sz w:val="20"/>
          <w:szCs w:val="20"/>
          <w:shd w:val="clear" w:color="auto" w:fill="FFFFFF"/>
        </w:rPr>
        <w:t xml:space="preserve"> The LC </w:t>
      </w:r>
      <w:r w:rsidRPr="00C60047">
        <w:rPr>
          <w:spacing w:val="2"/>
          <w:sz w:val="20"/>
          <w:szCs w:val="20"/>
          <w:shd w:val="clear" w:color="auto" w:fill="FFFFFF"/>
        </w:rPr>
        <w:t>contents</w:t>
      </w:r>
      <w:r w:rsidRPr="00C60047">
        <w:rPr>
          <w:rFonts w:eastAsia="Segoe UI"/>
          <w:spacing w:val="2"/>
          <w:sz w:val="20"/>
          <w:szCs w:val="20"/>
          <w:shd w:val="clear" w:color="auto" w:fill="FFFFFF"/>
        </w:rPr>
        <w:t xml:space="preserve"> were determined using a validated enzymatic assay kit (Abcam, UK) according to the manufacturer’s protocol.</w:t>
      </w:r>
      <w:r w:rsidRPr="00C60047">
        <w:rPr>
          <w:spacing w:val="2"/>
          <w:sz w:val="20"/>
          <w:szCs w:val="20"/>
        </w:rPr>
        <w:t xml:space="preserve"> The remaining sperm pellet was </w:t>
      </w:r>
      <w:r w:rsidRPr="00C60047">
        <w:rPr>
          <w:spacing w:val="2"/>
          <w:sz w:val="20"/>
          <w:szCs w:val="20"/>
        </w:rPr>
        <w:lastRenderedPageBreak/>
        <w:t xml:space="preserve">cryopreserved in liquid nitrogen for subsequent RNA extraction and gene expression analysis. Total RNA was extracted using </w:t>
      </w:r>
      <w:proofErr w:type="spellStart"/>
      <w:r w:rsidRPr="00C60047">
        <w:rPr>
          <w:spacing w:val="2"/>
          <w:sz w:val="20"/>
          <w:szCs w:val="20"/>
        </w:rPr>
        <w:t>TRIzol</w:t>
      </w:r>
      <w:proofErr w:type="spellEnd"/>
      <w:r w:rsidRPr="00C60047">
        <w:rPr>
          <w:spacing w:val="2"/>
          <w:sz w:val="20"/>
          <w:szCs w:val="20"/>
        </w:rPr>
        <w:t xml:space="preserve">, reverse transcribed, and analyzed via </w:t>
      </w:r>
      <w:proofErr w:type="spellStart"/>
      <w:r w:rsidRPr="00C60047">
        <w:rPr>
          <w:spacing w:val="2"/>
          <w:sz w:val="20"/>
          <w:szCs w:val="20"/>
        </w:rPr>
        <w:t>qRT</w:t>
      </w:r>
      <w:proofErr w:type="spellEnd"/>
      <w:r w:rsidRPr="00C60047">
        <w:rPr>
          <w:spacing w:val="2"/>
          <w:sz w:val="20"/>
          <w:szCs w:val="20"/>
        </w:rPr>
        <w:t xml:space="preserve">-PCR (Bio-Rad CFX384), with GAPDH as the reference gene. Primer sequences and amplification conditions are presented in Table 3. The relative mRNA levels of </w:t>
      </w:r>
      <w:r w:rsidRPr="00C60047">
        <w:rPr>
          <w:i/>
          <w:iCs/>
          <w:spacing w:val="2"/>
          <w:sz w:val="20"/>
          <w:szCs w:val="20"/>
        </w:rPr>
        <w:t>KEAP-1</w:t>
      </w:r>
      <w:r w:rsidRPr="00C60047">
        <w:rPr>
          <w:spacing w:val="2"/>
          <w:sz w:val="20"/>
          <w:szCs w:val="20"/>
        </w:rPr>
        <w:t xml:space="preserve">, </w:t>
      </w:r>
      <w:r w:rsidRPr="00C60047">
        <w:rPr>
          <w:i/>
          <w:iCs/>
          <w:spacing w:val="2"/>
          <w:sz w:val="20"/>
          <w:szCs w:val="20"/>
        </w:rPr>
        <w:t>NRF-2</w:t>
      </w:r>
      <w:r w:rsidRPr="00C60047">
        <w:rPr>
          <w:spacing w:val="2"/>
          <w:sz w:val="20"/>
          <w:szCs w:val="20"/>
        </w:rPr>
        <w:t xml:space="preserve">, </w:t>
      </w:r>
      <w:r w:rsidRPr="00C60047">
        <w:rPr>
          <w:i/>
          <w:iCs/>
          <w:spacing w:val="2"/>
          <w:sz w:val="20"/>
          <w:szCs w:val="20"/>
        </w:rPr>
        <w:t>Bax</w:t>
      </w:r>
      <w:r w:rsidRPr="00C60047">
        <w:rPr>
          <w:spacing w:val="2"/>
          <w:sz w:val="20"/>
          <w:szCs w:val="20"/>
        </w:rPr>
        <w:t xml:space="preserve">, </w:t>
      </w:r>
      <w:r w:rsidRPr="00C60047">
        <w:rPr>
          <w:i/>
          <w:iCs/>
          <w:spacing w:val="2"/>
          <w:sz w:val="20"/>
          <w:szCs w:val="20"/>
        </w:rPr>
        <w:t xml:space="preserve">Bcl-2 </w:t>
      </w:r>
      <w:r w:rsidRPr="00C60047">
        <w:rPr>
          <w:spacing w:val="2"/>
          <w:sz w:val="20"/>
          <w:szCs w:val="20"/>
        </w:rPr>
        <w:t xml:space="preserve">and </w:t>
      </w:r>
      <w:r w:rsidRPr="00C60047">
        <w:rPr>
          <w:i/>
          <w:iCs/>
          <w:spacing w:val="2"/>
          <w:sz w:val="20"/>
          <w:szCs w:val="20"/>
        </w:rPr>
        <w:t>Caspase-3</w:t>
      </w:r>
      <w:r w:rsidRPr="00C60047">
        <w:rPr>
          <w:spacing w:val="2"/>
          <w:sz w:val="20"/>
          <w:szCs w:val="20"/>
        </w:rPr>
        <w:t xml:space="preserve"> were investigated.</w:t>
      </w:r>
    </w:p>
    <w:p w14:paraId="2E158AAE" w14:textId="77777777" w:rsidR="006A7DAE" w:rsidRDefault="006A7DAE" w:rsidP="006A7DAE">
      <w:pPr>
        <w:adjustRightInd w:val="0"/>
        <w:snapToGrid w:val="0"/>
        <w:jc w:val="both"/>
        <w:rPr>
          <w:b/>
          <w:bCs/>
          <w:sz w:val="20"/>
          <w:szCs w:val="20"/>
        </w:rPr>
      </w:pPr>
    </w:p>
    <w:p w14:paraId="202A9500" w14:textId="760EBA7F" w:rsidR="006A7DAE" w:rsidRPr="002C7FC2" w:rsidRDefault="006A7DAE" w:rsidP="00C60047">
      <w:pPr>
        <w:adjustRightInd w:val="0"/>
        <w:snapToGrid w:val="0"/>
        <w:spacing w:line="244" w:lineRule="auto"/>
        <w:jc w:val="both"/>
        <w:rPr>
          <w:sz w:val="20"/>
          <w:szCs w:val="20"/>
        </w:rPr>
      </w:pPr>
      <w:r w:rsidRPr="002C7FC2">
        <w:rPr>
          <w:b/>
          <w:bCs/>
          <w:sz w:val="20"/>
          <w:szCs w:val="20"/>
        </w:rPr>
        <w:t xml:space="preserve">Sperm cryopreservation and post-thaw evaluation: </w:t>
      </w:r>
      <w:r w:rsidRPr="002C7FC2">
        <w:rPr>
          <w:sz w:val="20"/>
          <w:szCs w:val="20"/>
        </w:rPr>
        <w:t>Fresh</w:t>
      </w:r>
      <w:r w:rsidRPr="002C7FC2">
        <w:rPr>
          <w:b/>
          <w:bCs/>
          <w:sz w:val="20"/>
          <w:szCs w:val="20"/>
        </w:rPr>
        <w:t xml:space="preserve"> </w:t>
      </w:r>
      <w:r w:rsidRPr="002C7FC2">
        <w:rPr>
          <w:sz w:val="20"/>
          <w:szCs w:val="20"/>
        </w:rPr>
        <w:t>semen samples</w:t>
      </w:r>
      <w:r w:rsidRPr="002C7FC2">
        <w:rPr>
          <w:rStyle w:val="CommentReference"/>
          <w:sz w:val="20"/>
          <w:szCs w:val="20"/>
        </w:rPr>
        <w:t xml:space="preserve"> </w:t>
      </w:r>
      <w:r w:rsidRPr="002C7FC2">
        <w:rPr>
          <w:sz w:val="20"/>
          <w:szCs w:val="20"/>
        </w:rPr>
        <w:t>(300uL, &gt;65% motility) from LC0 and LC300 groups were diluted at a 1:8 ratio with TCG-egg yolk extender (4% DMSO, 10% egg yolk) in a 34℃water bath. The diluted semen was loaded into 0.25mL French straws (IMV Technologies, France), equilibrated at 4℃for 2h, and subsequently cryopreserved by exposure to liquid nitrogen vapor positioned 3cm above the liquid nitrogen surface for 10 minutes, followed by final immersion in liquid nitrogen (-196°C) for storage. After 7 days, straws were thawed (37°C, 30 sec) and assessed for post-thaw motility using CASA.</w:t>
      </w:r>
    </w:p>
    <w:p w14:paraId="4A2F42C6" w14:textId="77777777" w:rsidR="006A7DAE" w:rsidRDefault="006A7DAE" w:rsidP="00C60047">
      <w:pPr>
        <w:pStyle w:val="Heading3"/>
        <w:spacing w:before="0" w:after="0" w:line="244" w:lineRule="auto"/>
        <w:jc w:val="both"/>
        <w:rPr>
          <w:rFonts w:ascii="Times New Roman" w:hAnsi="Times New Roman"/>
          <w:sz w:val="20"/>
          <w:szCs w:val="20"/>
        </w:rPr>
      </w:pPr>
    </w:p>
    <w:p w14:paraId="50E573FF" w14:textId="0B760876" w:rsidR="001E3300" w:rsidRPr="006A7DAE" w:rsidRDefault="006A7DAE" w:rsidP="00C60047">
      <w:pPr>
        <w:pStyle w:val="Heading3"/>
        <w:spacing w:before="0" w:after="0" w:line="244" w:lineRule="auto"/>
        <w:jc w:val="both"/>
        <w:rPr>
          <w:rFonts w:ascii="Times New Roman" w:hAnsi="Times New Roman"/>
          <w:b w:val="0"/>
          <w:bCs w:val="0"/>
          <w:sz w:val="20"/>
          <w:szCs w:val="20"/>
        </w:rPr>
      </w:pPr>
      <w:r w:rsidRPr="002C7FC2">
        <w:rPr>
          <w:rFonts w:ascii="Times New Roman" w:hAnsi="Times New Roman"/>
          <w:sz w:val="20"/>
          <w:szCs w:val="20"/>
        </w:rPr>
        <w:t xml:space="preserve">Statistical analysis: </w:t>
      </w:r>
      <w:r w:rsidRPr="006A7DAE">
        <w:rPr>
          <w:rFonts w:ascii="Times New Roman" w:hAnsi="Times New Roman"/>
          <w:b w:val="0"/>
          <w:bCs w:val="0"/>
          <w:sz w:val="20"/>
          <w:szCs w:val="20"/>
        </w:rPr>
        <w:t xml:space="preserve">All experimental data were analyzed using SPSS Statistics 17.0 (SPSS Inc., USA). A mixed-effects linear model was employed to handle the repeated measures design, with treatment groups as a fixed effect and individual animal as a random effect to account for within-animal correlation. </w:t>
      </w:r>
      <w:bookmarkStart w:id="3" w:name="OLE_LINK3"/>
      <w:r w:rsidRPr="006A7DAE">
        <w:rPr>
          <w:rFonts w:ascii="Times New Roman" w:hAnsi="Times New Roman"/>
          <w:b w:val="0"/>
          <w:bCs w:val="0"/>
          <w:sz w:val="20"/>
          <w:szCs w:val="20"/>
        </w:rPr>
        <w:t xml:space="preserve">For fresh semen parameters, repeated measures ANOVA evaluated the effects of dietary LC supplementation, with collection day included as a repeated factor. </w:t>
      </w:r>
      <w:bookmarkEnd w:id="3"/>
      <w:r w:rsidRPr="006A7DAE">
        <w:rPr>
          <w:rFonts w:ascii="Times New Roman" w:hAnsi="Times New Roman"/>
          <w:b w:val="0"/>
          <w:bCs w:val="0"/>
          <w:sz w:val="20"/>
          <w:szCs w:val="20"/>
        </w:rPr>
        <w:t>Post-hoc comparisons were conducted using the Least Significant Difference (LSD) test with Bonferroni correction when ANOVA indicated significant effects (P&lt;0.05). Post-thaw sperm quality between LC0 and LC300 groups was compared using independent t-test. Sample size (n=10 per group) was determined by power analysis (β=0.80, α=0.05) based on previous LC studies in rabbits (</w:t>
      </w:r>
      <w:r w:rsidRPr="00C62FFF">
        <w:rPr>
          <w:rFonts w:ascii="Times New Roman" w:hAnsi="Times New Roman"/>
          <w:b w:val="0"/>
          <w:bCs w:val="0"/>
          <w:color w:val="2E74B5" w:themeColor="accent1" w:themeShade="BF"/>
          <w:sz w:val="20"/>
          <w:szCs w:val="20"/>
        </w:rPr>
        <w:t>Abdelnour</w:t>
      </w:r>
      <w:r w:rsidRPr="006A7DAE">
        <w:rPr>
          <w:rFonts w:ascii="Times New Roman" w:hAnsi="Times New Roman"/>
          <w:b w:val="0"/>
          <w:bCs w:val="0"/>
          <w:sz w:val="20"/>
          <w:szCs w:val="20"/>
        </w:rPr>
        <w:t xml:space="preserve"> </w:t>
      </w:r>
      <w:r w:rsidRPr="006A7DAE">
        <w:rPr>
          <w:rFonts w:ascii="Times New Roman" w:hAnsi="Times New Roman"/>
          <w:b w:val="0"/>
          <w:bCs w:val="0"/>
          <w:i/>
          <w:iCs/>
          <w:sz w:val="20"/>
          <w:szCs w:val="20"/>
        </w:rPr>
        <w:t>et al.</w:t>
      </w:r>
      <w:r w:rsidRPr="006A7DAE">
        <w:rPr>
          <w:rFonts w:ascii="Times New Roman" w:hAnsi="Times New Roman"/>
          <w:b w:val="0"/>
          <w:bCs w:val="0"/>
          <w:sz w:val="20"/>
          <w:szCs w:val="20"/>
        </w:rPr>
        <w:t xml:space="preserve">, 2022). Data are presented as least squares </w:t>
      </w:r>
      <w:proofErr w:type="spellStart"/>
      <w:r w:rsidRPr="006A7DAE">
        <w:rPr>
          <w:rFonts w:ascii="Times New Roman" w:hAnsi="Times New Roman"/>
          <w:b w:val="0"/>
          <w:bCs w:val="0"/>
          <w:sz w:val="20"/>
          <w:szCs w:val="20"/>
        </w:rPr>
        <w:t>means±SEM</w:t>
      </w:r>
      <w:proofErr w:type="spellEnd"/>
      <w:r w:rsidRPr="006A7DAE">
        <w:rPr>
          <w:rFonts w:ascii="Times New Roman" w:hAnsi="Times New Roman"/>
          <w:b w:val="0"/>
          <w:bCs w:val="0"/>
          <w:sz w:val="20"/>
          <w:szCs w:val="20"/>
        </w:rPr>
        <w:t>, with statistical significance set at P&lt;0.05.</w:t>
      </w:r>
      <w:bookmarkEnd w:id="2"/>
    </w:p>
    <w:p w14:paraId="0D9FD754" w14:textId="77777777" w:rsidR="001E3300" w:rsidRPr="00CC1E72" w:rsidRDefault="001E3300" w:rsidP="00C60047">
      <w:pPr>
        <w:spacing w:line="244" w:lineRule="auto"/>
        <w:ind w:left="2" w:hanging="2"/>
        <w:jc w:val="both"/>
        <w:rPr>
          <w:sz w:val="20"/>
          <w:szCs w:val="20"/>
        </w:rPr>
      </w:pPr>
    </w:p>
    <w:p w14:paraId="48147540" w14:textId="77777777" w:rsidR="001E3300" w:rsidRPr="004E1701" w:rsidRDefault="001E3300" w:rsidP="00C60047">
      <w:pPr>
        <w:spacing w:line="244" w:lineRule="auto"/>
        <w:jc w:val="center"/>
        <w:rPr>
          <w:b/>
          <w:bCs/>
          <w:sz w:val="20"/>
          <w:szCs w:val="20"/>
        </w:rPr>
      </w:pPr>
      <w:r w:rsidRPr="004E1701">
        <w:rPr>
          <w:b/>
          <w:sz w:val="20"/>
        </w:rPr>
        <w:t>RESULTS</w:t>
      </w:r>
    </w:p>
    <w:p w14:paraId="53E2F9E1" w14:textId="77777777" w:rsidR="001E3300" w:rsidRPr="00AE34E1" w:rsidRDefault="001E3300" w:rsidP="00C60047">
      <w:pPr>
        <w:spacing w:line="244" w:lineRule="auto"/>
        <w:jc w:val="center"/>
        <w:rPr>
          <w:b/>
          <w:bCs/>
          <w:sz w:val="20"/>
          <w:szCs w:val="20"/>
        </w:rPr>
      </w:pPr>
    </w:p>
    <w:p w14:paraId="0687697B" w14:textId="77777777" w:rsidR="006A7DAE" w:rsidRPr="002C7FC2" w:rsidRDefault="006A7DAE" w:rsidP="00C60047">
      <w:pPr>
        <w:adjustRightInd w:val="0"/>
        <w:snapToGrid w:val="0"/>
        <w:spacing w:line="244" w:lineRule="auto"/>
        <w:jc w:val="both"/>
        <w:rPr>
          <w:b/>
          <w:bCs/>
          <w:sz w:val="20"/>
          <w:szCs w:val="20"/>
        </w:rPr>
      </w:pPr>
      <w:bookmarkStart w:id="4" w:name="_Hlk210171270"/>
      <w:r w:rsidRPr="002C7FC2">
        <w:rPr>
          <w:b/>
          <w:bCs/>
          <w:sz w:val="20"/>
          <w:szCs w:val="20"/>
        </w:rPr>
        <w:t xml:space="preserve">Effects of dietary LC supplement on semen characteristics and sperm motility kinetics in fresh semen: </w:t>
      </w:r>
      <w:r w:rsidRPr="002C7FC2">
        <w:rPr>
          <w:sz w:val="20"/>
          <w:szCs w:val="20"/>
        </w:rPr>
        <w:t>As presented in Table 4, dietary supplementation with LC300 significantly increased ejaculate volume, sperm concentration, and nearly all assessed sperm kinetic parameters compared to the LC0 group (P&lt;0.05), with the exceptions of BCF and STR. Lower-dose (LC75) supplementation specifically improved VAP, ALH and LIN (P&lt;0.05), while LC150 supplementation induced broader effects, enhancing ejaculate volume, PM, VCL and ALH compared to control group (P&lt;0.05). Notably, high-dose (LC450) supplementation elicited the most pronounced responses, significantly increasing ejaculate volume, PM, VCL, VAP, ALH, and LIN compared to control group (P&lt;0.05).</w:t>
      </w:r>
    </w:p>
    <w:p w14:paraId="2CB91D03" w14:textId="77777777" w:rsidR="006A7DAE" w:rsidRDefault="006A7DAE" w:rsidP="00C60047">
      <w:pPr>
        <w:adjustRightInd w:val="0"/>
        <w:snapToGrid w:val="0"/>
        <w:spacing w:line="244" w:lineRule="auto"/>
        <w:jc w:val="both"/>
        <w:rPr>
          <w:b/>
          <w:bCs/>
          <w:sz w:val="20"/>
          <w:szCs w:val="20"/>
        </w:rPr>
      </w:pPr>
    </w:p>
    <w:p w14:paraId="11DE4217" w14:textId="169A186B" w:rsidR="00C60047" w:rsidRPr="002C7FC2" w:rsidRDefault="006A7DAE" w:rsidP="00C60047">
      <w:pPr>
        <w:adjustRightInd w:val="0"/>
        <w:snapToGrid w:val="0"/>
        <w:jc w:val="both"/>
        <w:rPr>
          <w:b/>
          <w:bCs/>
          <w:sz w:val="20"/>
          <w:szCs w:val="20"/>
        </w:rPr>
      </w:pPr>
      <w:r w:rsidRPr="002C7FC2">
        <w:rPr>
          <w:b/>
          <w:bCs/>
          <w:sz w:val="20"/>
          <w:szCs w:val="20"/>
        </w:rPr>
        <w:t xml:space="preserve">Semen antioxidant capacity: </w:t>
      </w:r>
      <w:r w:rsidRPr="002C7FC2">
        <w:rPr>
          <w:sz w:val="20"/>
          <w:szCs w:val="20"/>
        </w:rPr>
        <w:t>As presented in Table 5, dietary LC300 supplementation significantly elevated seminal plasma levels of SOD, T-AOC, CAT, GSH-</w:t>
      </w:r>
      <w:proofErr w:type="spellStart"/>
      <w:r w:rsidRPr="002C7FC2">
        <w:rPr>
          <w:sz w:val="20"/>
          <w:szCs w:val="20"/>
        </w:rPr>
        <w:t>Px</w:t>
      </w:r>
      <w:proofErr w:type="spellEnd"/>
      <w:r w:rsidRPr="002C7FC2">
        <w:rPr>
          <w:sz w:val="20"/>
          <w:szCs w:val="20"/>
        </w:rPr>
        <w:t xml:space="preserve">, </w:t>
      </w:r>
      <w:r w:rsidRPr="002C7FC2">
        <w:rPr>
          <w:sz w:val="20"/>
          <w:szCs w:val="20"/>
        </w:rPr>
        <w:lastRenderedPageBreak/>
        <w:t xml:space="preserve">and LC contents, while reducing MDA and ROS compared to the LC0 group (P&lt;0.05). Similarly, LC75 supplementation significantly increased CAT activity and </w:t>
      </w:r>
      <w:bookmarkStart w:id="5" w:name="_Hlk210181793"/>
      <w:r w:rsidR="00C60047" w:rsidRPr="002C7FC2">
        <w:rPr>
          <w:sz w:val="20"/>
          <w:szCs w:val="20"/>
        </w:rPr>
        <w:t>decreased ROS levels compared to control group (P&lt;0.05). Both LC150 and LC450 supplementation enhanced CAT and GSH-</w:t>
      </w:r>
      <w:proofErr w:type="spellStart"/>
      <w:r w:rsidR="00C60047" w:rsidRPr="002C7FC2">
        <w:rPr>
          <w:sz w:val="20"/>
          <w:szCs w:val="20"/>
        </w:rPr>
        <w:t>Px</w:t>
      </w:r>
      <w:proofErr w:type="spellEnd"/>
      <w:r w:rsidR="00C60047" w:rsidRPr="002C7FC2">
        <w:rPr>
          <w:sz w:val="20"/>
          <w:szCs w:val="20"/>
        </w:rPr>
        <w:t xml:space="preserve"> activities, while reducing MDA and ROS levels in seminal plasma compared to control group (P&lt;0.05).</w:t>
      </w:r>
    </w:p>
    <w:p w14:paraId="288BB9BA" w14:textId="77777777" w:rsidR="00C60047" w:rsidRPr="002C7FC2" w:rsidRDefault="00C60047" w:rsidP="00C60047">
      <w:pPr>
        <w:adjustRightInd w:val="0"/>
        <w:snapToGrid w:val="0"/>
        <w:ind w:firstLineChars="200" w:firstLine="400"/>
        <w:jc w:val="both"/>
        <w:rPr>
          <w:sz w:val="20"/>
          <w:szCs w:val="20"/>
        </w:rPr>
      </w:pPr>
      <w:r w:rsidRPr="002C7FC2">
        <w:rPr>
          <w:sz w:val="20"/>
          <w:szCs w:val="20"/>
        </w:rPr>
        <w:t>In sperm, dietary LC300 supplementation significantly increased sperm levels of SOD, T-AOC, and CAT, while decreasing MDA and ROS compared to the LC0 group (P&lt;0.05). LC150 supplementation significantly elevated T-AOC, CAT, and GSH-</w:t>
      </w:r>
      <w:proofErr w:type="spellStart"/>
      <w:r w:rsidRPr="002C7FC2">
        <w:rPr>
          <w:sz w:val="20"/>
          <w:szCs w:val="20"/>
        </w:rPr>
        <w:t>Px</w:t>
      </w:r>
      <w:proofErr w:type="spellEnd"/>
      <w:r w:rsidRPr="002C7FC2">
        <w:rPr>
          <w:rStyle w:val="CommentReference"/>
          <w:sz w:val="20"/>
          <w:szCs w:val="20"/>
        </w:rPr>
        <w:t xml:space="preserve"> a</w:t>
      </w:r>
      <w:r w:rsidRPr="002C7FC2">
        <w:rPr>
          <w:sz w:val="20"/>
          <w:szCs w:val="20"/>
        </w:rPr>
        <w:t>ctivities and reduced ROS levels in sperm compared to control group (P&lt;0.05). Both LC75 and LC450 supplementation enhanced T-AOC activity, while reducing ROS levels in sperm compared to control group (P&lt;0.05).</w:t>
      </w:r>
    </w:p>
    <w:p w14:paraId="1360EB91" w14:textId="77777777" w:rsidR="00C60047" w:rsidRDefault="00C60047" w:rsidP="00C60047">
      <w:pPr>
        <w:adjustRightInd w:val="0"/>
        <w:snapToGrid w:val="0"/>
        <w:jc w:val="both"/>
        <w:rPr>
          <w:b/>
          <w:bCs/>
          <w:sz w:val="20"/>
          <w:szCs w:val="20"/>
        </w:rPr>
      </w:pPr>
      <w:bookmarkStart w:id="6" w:name="OLE_LINK7"/>
    </w:p>
    <w:p w14:paraId="0839C8BC" w14:textId="77777777" w:rsidR="00C60047" w:rsidRPr="00C60047" w:rsidRDefault="00C60047" w:rsidP="00C60047">
      <w:pPr>
        <w:adjustRightInd w:val="0"/>
        <w:snapToGrid w:val="0"/>
        <w:jc w:val="both"/>
        <w:rPr>
          <w:b/>
          <w:bCs/>
          <w:spacing w:val="2"/>
          <w:sz w:val="20"/>
          <w:szCs w:val="20"/>
        </w:rPr>
      </w:pPr>
      <w:r w:rsidRPr="00C60047">
        <w:rPr>
          <w:b/>
          <w:bCs/>
          <w:spacing w:val="2"/>
          <w:sz w:val="20"/>
          <w:szCs w:val="20"/>
        </w:rPr>
        <w:t xml:space="preserve">Spermatozoa characteristics using flow cytometry: </w:t>
      </w:r>
      <w:r w:rsidRPr="00C60047">
        <w:rPr>
          <w:spacing w:val="2"/>
          <w:sz w:val="20"/>
          <w:szCs w:val="20"/>
        </w:rPr>
        <w:t>As shown in Fig. 1, supplementation with both dietary LC150 and LC300 significantly increased sperm acrosomal integrity compared to the LC0 group (P&lt;0.05). However, other LC concentrations had no effect on this parameter when compared with LC0 group (Fig. 1A). Results of Flow cytometric assessment of spermatozoa acrosomal integrity using PNA-FITC/PI dual staining are shown in Fig. 1B.</w:t>
      </w:r>
    </w:p>
    <w:bookmarkEnd w:id="6"/>
    <w:p w14:paraId="2BD68A79" w14:textId="77777777" w:rsidR="00C60047" w:rsidRPr="00C60047" w:rsidRDefault="00C60047" w:rsidP="00C60047">
      <w:pPr>
        <w:adjustRightInd w:val="0"/>
        <w:snapToGrid w:val="0"/>
        <w:ind w:firstLine="360"/>
        <w:jc w:val="both"/>
        <w:rPr>
          <w:spacing w:val="3"/>
          <w:sz w:val="20"/>
          <w:szCs w:val="20"/>
        </w:rPr>
      </w:pPr>
      <w:r w:rsidRPr="00C60047">
        <w:rPr>
          <w:spacing w:val="3"/>
          <w:sz w:val="20"/>
          <w:szCs w:val="20"/>
        </w:rPr>
        <w:t xml:space="preserve">   As indicated in Fig. 2, dietary supplementation with LC150 or LC300 significantly increased sperm plasma membrane integrity compared to the LC0 group (P&lt;0.05). Conversely, other LC concentrations had no effect on this parameter (Fig. 2A). Flow cytometric assessment of spermatozoa plasma membrane integrity using SYBR-14/PI dual staining is shown in Fig. 2B). </w:t>
      </w:r>
    </w:p>
    <w:p w14:paraId="608B03F2" w14:textId="77777777" w:rsidR="00C60047" w:rsidRPr="002C7FC2" w:rsidRDefault="00C60047" w:rsidP="00C60047">
      <w:pPr>
        <w:adjustRightInd w:val="0"/>
        <w:snapToGrid w:val="0"/>
        <w:ind w:firstLineChars="200" w:firstLine="400"/>
        <w:jc w:val="both"/>
        <w:rPr>
          <w:sz w:val="20"/>
          <w:szCs w:val="20"/>
        </w:rPr>
      </w:pPr>
      <w:r w:rsidRPr="002C7FC2">
        <w:rPr>
          <w:sz w:val="20"/>
          <w:szCs w:val="20"/>
        </w:rPr>
        <w:t xml:space="preserve">The results presented in Fig. 3 show that compared with the LC0 group, dietary LC150 supplementation </w:t>
      </w:r>
      <w:r w:rsidRPr="002C7FC2">
        <w:rPr>
          <w:sz w:val="20"/>
          <w:szCs w:val="20"/>
        </w:rPr>
        <w:lastRenderedPageBreak/>
        <w:t>significantly improved the MMP (P&lt;0.05). However, other LC concentrations had no effect on the MMP (Fig. 3A). Fig. 3B shows the Flow cytometric assessment of spermatozoa MMP using JC-1 staining.</w:t>
      </w:r>
    </w:p>
    <w:p w14:paraId="50233966" w14:textId="77777777" w:rsidR="00C60047" w:rsidRPr="002C7FC2" w:rsidRDefault="00C60047" w:rsidP="00C60047">
      <w:pPr>
        <w:adjustRightInd w:val="0"/>
        <w:snapToGrid w:val="0"/>
        <w:spacing w:line="244" w:lineRule="auto"/>
        <w:ind w:firstLineChars="200" w:firstLine="400"/>
        <w:jc w:val="both"/>
        <w:rPr>
          <w:sz w:val="20"/>
          <w:szCs w:val="20"/>
        </w:rPr>
      </w:pPr>
      <w:r w:rsidRPr="002C7FC2">
        <w:rPr>
          <w:sz w:val="20"/>
          <w:szCs w:val="20"/>
        </w:rPr>
        <w:t xml:space="preserve">As shown in Fig. 4, LC450 supplementation significantly decreased both early (Fig. 4A) and late (Fig. 4B) apoptosis rates compared to the LC0 group (P&lt;0.05). Conversely, other LC concentrations had no effect on sperm apoptosis. Flow cytometric assessment of spermatozoa apoptosis using dual Annexin V PE and 7-AAD staining is shown in Fig. 4C).  </w:t>
      </w:r>
    </w:p>
    <w:p w14:paraId="725DD9C4" w14:textId="77777777" w:rsidR="00C60047" w:rsidRDefault="00C60047" w:rsidP="00C60047">
      <w:pPr>
        <w:adjustRightInd w:val="0"/>
        <w:snapToGrid w:val="0"/>
        <w:spacing w:line="244" w:lineRule="auto"/>
        <w:jc w:val="both"/>
        <w:rPr>
          <w:b/>
          <w:bCs/>
          <w:sz w:val="20"/>
          <w:szCs w:val="20"/>
        </w:rPr>
      </w:pPr>
    </w:p>
    <w:p w14:paraId="15781AA2" w14:textId="77777777" w:rsidR="00C60047" w:rsidRPr="002C7FC2" w:rsidRDefault="00C60047" w:rsidP="00C60047">
      <w:pPr>
        <w:adjustRightInd w:val="0"/>
        <w:snapToGrid w:val="0"/>
        <w:spacing w:line="244" w:lineRule="auto"/>
        <w:jc w:val="both"/>
        <w:rPr>
          <w:b/>
          <w:bCs/>
          <w:sz w:val="20"/>
          <w:szCs w:val="20"/>
        </w:rPr>
      </w:pPr>
      <w:r w:rsidRPr="002C7FC2">
        <w:rPr>
          <w:b/>
          <w:bCs/>
          <w:sz w:val="20"/>
          <w:szCs w:val="20"/>
        </w:rPr>
        <w:t xml:space="preserve">Gene expression: </w:t>
      </w:r>
      <w:r w:rsidRPr="002C7FC2">
        <w:rPr>
          <w:sz w:val="20"/>
          <w:szCs w:val="20"/>
        </w:rPr>
        <w:t xml:space="preserve">Dietary LC300 supplementation significantly upregulated the mRNA levels of sperm KEAP-1 (Fig. 5A), while </w:t>
      </w:r>
      <w:r w:rsidRPr="002C7FC2">
        <w:rPr>
          <w:i/>
          <w:iCs/>
          <w:sz w:val="20"/>
          <w:szCs w:val="20"/>
        </w:rPr>
        <w:t>NRF-2</w:t>
      </w:r>
      <w:r w:rsidRPr="002C7FC2">
        <w:rPr>
          <w:sz w:val="20"/>
          <w:szCs w:val="20"/>
        </w:rPr>
        <w:t xml:space="preserve"> expression was upregulated by both LC300 and LC450 (Fig. 5B) compared to LC0 group (P&lt;0.05). However, other LC concentrations had non-significant effects on the mRNA levels of </w:t>
      </w:r>
      <w:r w:rsidRPr="002C7FC2">
        <w:rPr>
          <w:i/>
          <w:iCs/>
          <w:sz w:val="20"/>
          <w:szCs w:val="20"/>
        </w:rPr>
        <w:t>KEAP-1</w:t>
      </w:r>
      <w:r w:rsidRPr="002C7FC2">
        <w:rPr>
          <w:sz w:val="20"/>
          <w:szCs w:val="20"/>
        </w:rPr>
        <w:t xml:space="preserve"> and </w:t>
      </w:r>
      <w:r w:rsidRPr="002C7FC2">
        <w:rPr>
          <w:i/>
          <w:iCs/>
          <w:sz w:val="20"/>
          <w:szCs w:val="20"/>
        </w:rPr>
        <w:t>NRF-2</w:t>
      </w:r>
      <w:r w:rsidRPr="002C7FC2">
        <w:rPr>
          <w:sz w:val="20"/>
          <w:szCs w:val="20"/>
        </w:rPr>
        <w:t xml:space="preserve">. The mRNA level of </w:t>
      </w:r>
      <w:r w:rsidRPr="002C7FC2">
        <w:rPr>
          <w:i/>
          <w:iCs/>
          <w:sz w:val="20"/>
          <w:szCs w:val="20"/>
        </w:rPr>
        <w:t>caspase-3</w:t>
      </w:r>
      <w:r w:rsidRPr="002C7FC2">
        <w:rPr>
          <w:sz w:val="20"/>
          <w:szCs w:val="20"/>
        </w:rPr>
        <w:t xml:space="preserve"> gene was not affected by any LC treatment when compared with control (Fig. 5C). </w:t>
      </w:r>
    </w:p>
    <w:p w14:paraId="3BA27804" w14:textId="77777777" w:rsidR="00C60047" w:rsidRPr="00C60047" w:rsidRDefault="00C60047" w:rsidP="00C60047">
      <w:pPr>
        <w:adjustRightInd w:val="0"/>
        <w:snapToGrid w:val="0"/>
        <w:spacing w:line="244" w:lineRule="auto"/>
        <w:ind w:firstLineChars="200" w:firstLine="404"/>
        <w:jc w:val="both"/>
        <w:rPr>
          <w:spacing w:val="2"/>
          <w:sz w:val="20"/>
          <w:szCs w:val="20"/>
        </w:rPr>
      </w:pPr>
      <w:r w:rsidRPr="00C60047">
        <w:rPr>
          <w:spacing w:val="2"/>
          <w:sz w:val="20"/>
          <w:szCs w:val="20"/>
        </w:rPr>
        <w:t>Dietary LC supplementation across all tested doses significantly upregulated </w:t>
      </w:r>
      <w:r w:rsidRPr="00C60047">
        <w:rPr>
          <w:i/>
          <w:iCs/>
          <w:spacing w:val="2"/>
          <w:sz w:val="20"/>
          <w:szCs w:val="20"/>
        </w:rPr>
        <w:t>Bax</w:t>
      </w:r>
      <w:r w:rsidRPr="00C60047">
        <w:rPr>
          <w:spacing w:val="2"/>
          <w:sz w:val="20"/>
          <w:szCs w:val="20"/>
        </w:rPr>
        <w:t> gene mRNA (Fig. 5E) levels compared to the LC0 group (P&lt;0.05). On the other hand, all LC concentrations downregulated</w:t>
      </w:r>
      <w:r w:rsidRPr="00C60047">
        <w:rPr>
          <w:i/>
          <w:iCs/>
          <w:spacing w:val="2"/>
          <w:sz w:val="20"/>
          <w:szCs w:val="20"/>
        </w:rPr>
        <w:t> Bcl-2</w:t>
      </w:r>
      <w:r w:rsidRPr="00C60047">
        <w:rPr>
          <w:spacing w:val="2"/>
          <w:sz w:val="20"/>
          <w:szCs w:val="20"/>
        </w:rPr>
        <w:t xml:space="preserve"> mRNA expression (Fig. 5D) and reduced the </w:t>
      </w:r>
      <w:r w:rsidRPr="00C60047">
        <w:rPr>
          <w:i/>
          <w:iCs/>
          <w:spacing w:val="2"/>
          <w:sz w:val="20"/>
          <w:szCs w:val="20"/>
        </w:rPr>
        <w:t>Bcl-2/Bax</w:t>
      </w:r>
      <w:r w:rsidRPr="00C60047">
        <w:rPr>
          <w:spacing w:val="2"/>
          <w:sz w:val="20"/>
          <w:szCs w:val="20"/>
        </w:rPr>
        <w:t xml:space="preserve"> mRNA ratio (Fig. 5F) compared to LC0 group (P&lt;0.05).  </w:t>
      </w:r>
    </w:p>
    <w:p w14:paraId="62E31003" w14:textId="77777777" w:rsidR="00C60047" w:rsidRPr="006A7DAE" w:rsidRDefault="00C60047" w:rsidP="00C60047">
      <w:pPr>
        <w:pStyle w:val="Heading3"/>
        <w:spacing w:before="0" w:after="0" w:line="244" w:lineRule="auto"/>
        <w:ind w:firstLine="360"/>
        <w:jc w:val="both"/>
        <w:rPr>
          <w:rFonts w:ascii="Times New Roman" w:eastAsiaTheme="minorEastAsia" w:hAnsi="Times New Roman"/>
          <w:b w:val="0"/>
          <w:bCs w:val="0"/>
          <w:sz w:val="20"/>
          <w:szCs w:val="20"/>
          <w:lang w:eastAsia="zh-CN"/>
        </w:rPr>
      </w:pPr>
      <w:r w:rsidRPr="006A7DAE">
        <w:rPr>
          <w:rFonts w:ascii="Times New Roman" w:hAnsi="Times New Roman"/>
          <w:b w:val="0"/>
          <w:bCs w:val="0"/>
          <w:sz w:val="20"/>
          <w:szCs w:val="20"/>
        </w:rPr>
        <w:t>Effects of dietary LC supplement on sperm motility kinetics in post-thaw semen: Dietary LC300 supplementation significantly improved the PM, VCL, VSL, VAP, WOB, and ALH compared to the LC0 (P&lt;0.05). However, the inclusion of LC300 had no significant effects on TM, BCF, STR, or LIN compared to LC0 group (Table 6).</w:t>
      </w:r>
    </w:p>
    <w:p w14:paraId="56146D3F" w14:textId="77777777" w:rsidR="00C60047" w:rsidRDefault="00C60047" w:rsidP="00C60047">
      <w:pPr>
        <w:adjustRightInd w:val="0"/>
        <w:snapToGrid w:val="0"/>
        <w:rPr>
          <w:rFonts w:ascii="Gill Sans MT" w:hAnsi="Gill Sans MT"/>
          <w:b/>
          <w:bCs/>
          <w:sz w:val="16"/>
          <w:szCs w:val="16"/>
          <w:lang w:bidi="ar"/>
        </w:rPr>
        <w:sectPr w:rsidR="00C60047" w:rsidSect="00B96FFB">
          <w:type w:val="continuous"/>
          <w:pgSz w:w="11909" w:h="16834" w:code="9"/>
          <w:pgMar w:top="1080" w:right="1080" w:bottom="1080" w:left="1080" w:header="720" w:footer="720" w:gutter="0"/>
          <w:cols w:num="2" w:space="360"/>
          <w:docGrid w:linePitch="360"/>
        </w:sectPr>
      </w:pPr>
    </w:p>
    <w:p w14:paraId="383D1191" w14:textId="77777777" w:rsidR="00C60047" w:rsidRDefault="00C60047" w:rsidP="00C60047">
      <w:pPr>
        <w:adjustRightInd w:val="0"/>
        <w:snapToGrid w:val="0"/>
        <w:spacing w:line="244" w:lineRule="auto"/>
        <w:rPr>
          <w:rFonts w:ascii="Gill Sans MT" w:hAnsi="Gill Sans MT"/>
          <w:b/>
          <w:bCs/>
          <w:sz w:val="16"/>
          <w:szCs w:val="16"/>
          <w:lang w:bidi="ar"/>
        </w:rPr>
      </w:pPr>
    </w:p>
    <w:p w14:paraId="6B82E593" w14:textId="375E5058"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b/>
          <w:bCs/>
          <w:sz w:val="16"/>
          <w:szCs w:val="16"/>
          <w:lang w:bidi="ar"/>
        </w:rPr>
        <w:t>Table 3:</w:t>
      </w:r>
      <w:r w:rsidRPr="002C7FC2">
        <w:rPr>
          <w:rFonts w:ascii="Gill Sans MT" w:hAnsi="Gill Sans MT"/>
          <w:b/>
          <w:bCs/>
          <w:sz w:val="16"/>
          <w:szCs w:val="16"/>
        </w:rPr>
        <w:t xml:space="preserve"> </w:t>
      </w:r>
      <w:r w:rsidRPr="002C7FC2">
        <w:rPr>
          <w:rFonts w:ascii="Gill Sans MT" w:hAnsi="Gill Sans MT"/>
          <w:sz w:val="16"/>
          <w:szCs w:val="16"/>
        </w:rPr>
        <w:t>Information about the</w:t>
      </w:r>
      <w:r w:rsidRPr="002C7FC2">
        <w:rPr>
          <w:rFonts w:ascii="Gill Sans MT" w:hAnsi="Gill Sans MT"/>
          <w:b/>
          <w:bCs/>
          <w:sz w:val="16"/>
          <w:szCs w:val="16"/>
        </w:rPr>
        <w:t xml:space="preserve"> </w:t>
      </w:r>
      <w:r w:rsidRPr="00C60047">
        <w:rPr>
          <w:rFonts w:ascii="Gill Sans MT" w:hAnsi="Gill Sans MT"/>
          <w:sz w:val="16"/>
          <w:szCs w:val="16"/>
        </w:rPr>
        <w:t>genes and</w:t>
      </w:r>
      <w:r w:rsidRPr="002C7FC2">
        <w:rPr>
          <w:rFonts w:ascii="Gill Sans MT" w:hAnsi="Gill Sans MT"/>
          <w:b/>
          <w:bCs/>
          <w:sz w:val="16"/>
          <w:szCs w:val="16"/>
        </w:rPr>
        <w:t xml:space="preserve"> </w:t>
      </w:r>
      <w:proofErr w:type="spellStart"/>
      <w:r w:rsidRPr="002C7FC2">
        <w:rPr>
          <w:rFonts w:ascii="Gill Sans MT" w:hAnsi="Gill Sans MT"/>
          <w:sz w:val="16"/>
          <w:szCs w:val="16"/>
        </w:rPr>
        <w:t>qRT</w:t>
      </w:r>
      <w:proofErr w:type="spellEnd"/>
      <w:r w:rsidRPr="002C7FC2">
        <w:rPr>
          <w:rFonts w:ascii="Gill Sans MT" w:hAnsi="Gill Sans MT"/>
          <w:sz w:val="16"/>
          <w:szCs w:val="16"/>
        </w:rPr>
        <w:t>-PCR primers used in the study</w:t>
      </w:r>
    </w:p>
    <w:tbl>
      <w:tblPr>
        <w:tblStyle w:val="TableGrid"/>
        <w:tblW w:w="5000" w:type="pct"/>
        <w:tblCellMar>
          <w:left w:w="29" w:type="dxa"/>
          <w:right w:w="29" w:type="dxa"/>
        </w:tblCellMar>
        <w:tblLook w:val="04A0" w:firstRow="1" w:lastRow="0" w:firstColumn="1" w:lastColumn="0" w:noHBand="0" w:noVBand="1"/>
      </w:tblPr>
      <w:tblGrid>
        <w:gridCol w:w="1090"/>
        <w:gridCol w:w="2174"/>
        <w:gridCol w:w="3878"/>
        <w:gridCol w:w="1008"/>
        <w:gridCol w:w="1599"/>
      </w:tblGrid>
      <w:tr w:rsidR="00C60047" w:rsidRPr="002C7FC2" w14:paraId="5C75EDF2" w14:textId="77777777" w:rsidTr="00C60047">
        <w:trPr>
          <w:trHeight w:val="20"/>
        </w:trPr>
        <w:tc>
          <w:tcPr>
            <w:tcW w:w="559" w:type="pct"/>
            <w:tcBorders>
              <w:left w:val="nil"/>
              <w:right w:val="nil"/>
            </w:tcBorders>
            <w:vAlign w:val="center"/>
          </w:tcPr>
          <w:p w14:paraId="17AE3409"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Gene</w:t>
            </w:r>
          </w:p>
        </w:tc>
        <w:tc>
          <w:tcPr>
            <w:tcW w:w="1115" w:type="pct"/>
            <w:tcBorders>
              <w:left w:val="nil"/>
              <w:right w:val="nil"/>
            </w:tcBorders>
            <w:vAlign w:val="center"/>
          </w:tcPr>
          <w:p w14:paraId="110F0C06"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roofErr w:type="spellStart"/>
            <w:r w:rsidRPr="002C7FC2">
              <w:rPr>
                <w:rFonts w:ascii="Gill Sans MT" w:hAnsi="Gill Sans MT"/>
                <w:sz w:val="16"/>
                <w:szCs w:val="16"/>
              </w:rPr>
              <w:t>Genbank</w:t>
            </w:r>
            <w:proofErr w:type="spellEnd"/>
            <w:r w:rsidRPr="002C7FC2">
              <w:rPr>
                <w:rFonts w:ascii="Gill Sans MT" w:hAnsi="Gill Sans MT"/>
                <w:sz w:val="16"/>
                <w:szCs w:val="16"/>
              </w:rPr>
              <w:t xml:space="preserve"> Accession</w:t>
            </w:r>
          </w:p>
        </w:tc>
        <w:tc>
          <w:tcPr>
            <w:tcW w:w="1989" w:type="pct"/>
            <w:tcBorders>
              <w:left w:val="nil"/>
              <w:right w:val="nil"/>
            </w:tcBorders>
            <w:vAlign w:val="center"/>
          </w:tcPr>
          <w:p w14:paraId="094CF1FD"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Primer Sequences (5'to3')</w:t>
            </w:r>
          </w:p>
        </w:tc>
        <w:tc>
          <w:tcPr>
            <w:tcW w:w="517" w:type="pct"/>
            <w:tcBorders>
              <w:left w:val="nil"/>
              <w:right w:val="nil"/>
            </w:tcBorders>
            <w:vAlign w:val="center"/>
          </w:tcPr>
          <w:p w14:paraId="67EC260A"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Size (bp)</w:t>
            </w:r>
          </w:p>
        </w:tc>
        <w:tc>
          <w:tcPr>
            <w:tcW w:w="820" w:type="pct"/>
            <w:tcBorders>
              <w:left w:val="nil"/>
              <w:right w:val="nil"/>
            </w:tcBorders>
            <w:vAlign w:val="center"/>
          </w:tcPr>
          <w:p w14:paraId="697C3123"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Annealing (</w:t>
            </w:r>
            <w:r w:rsidRPr="002C7FC2">
              <w:rPr>
                <w:rFonts w:ascii="Cambria Math" w:hAnsi="Cambria Math" w:cs="Cambria Math"/>
                <w:sz w:val="16"/>
                <w:szCs w:val="16"/>
              </w:rPr>
              <w:t>℃</w:t>
            </w:r>
            <w:r w:rsidRPr="002C7FC2">
              <w:rPr>
                <w:rFonts w:ascii="Gill Sans MT" w:hAnsi="Gill Sans MT"/>
                <w:sz w:val="16"/>
                <w:szCs w:val="16"/>
              </w:rPr>
              <w:t>)</w:t>
            </w:r>
          </w:p>
        </w:tc>
      </w:tr>
      <w:tr w:rsidR="00C60047" w:rsidRPr="002C7FC2" w14:paraId="41B3E46A" w14:textId="77777777" w:rsidTr="00C60047">
        <w:trPr>
          <w:trHeight w:val="20"/>
        </w:trPr>
        <w:tc>
          <w:tcPr>
            <w:tcW w:w="559" w:type="pct"/>
            <w:vMerge w:val="restart"/>
            <w:tcBorders>
              <w:left w:val="nil"/>
              <w:right w:val="nil"/>
            </w:tcBorders>
            <w:vAlign w:val="center"/>
          </w:tcPr>
          <w:p w14:paraId="33363BC6"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KEAP-1</w:t>
            </w:r>
          </w:p>
        </w:tc>
        <w:tc>
          <w:tcPr>
            <w:tcW w:w="1115" w:type="pct"/>
            <w:vMerge w:val="restart"/>
            <w:tcBorders>
              <w:left w:val="nil"/>
              <w:right w:val="nil"/>
            </w:tcBorders>
            <w:vAlign w:val="center"/>
          </w:tcPr>
          <w:p w14:paraId="429FF31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XM_008251548.3</w:t>
            </w:r>
          </w:p>
        </w:tc>
        <w:tc>
          <w:tcPr>
            <w:tcW w:w="1989" w:type="pct"/>
            <w:tcBorders>
              <w:left w:val="nil"/>
              <w:bottom w:val="nil"/>
              <w:right w:val="nil"/>
            </w:tcBorders>
            <w:vAlign w:val="center"/>
          </w:tcPr>
          <w:p w14:paraId="0D3EBE16" w14:textId="77777777" w:rsidR="00C60047" w:rsidRPr="002C7FC2" w:rsidRDefault="00C60047" w:rsidP="00C60047">
            <w:pPr>
              <w:adjustRightInd w:val="0"/>
              <w:snapToGrid w:val="0"/>
              <w:spacing w:line="244" w:lineRule="auto"/>
              <w:rPr>
                <w:rFonts w:ascii="Gill Sans MT" w:hAnsi="Gill Sans MT"/>
                <w:i/>
                <w:iCs/>
                <w:sz w:val="16"/>
                <w:szCs w:val="16"/>
                <w:shd w:val="clear" w:color="auto" w:fill="FFFFFF"/>
              </w:rPr>
            </w:pPr>
            <w:r w:rsidRPr="002C7FC2">
              <w:rPr>
                <w:rFonts w:ascii="Gill Sans MT" w:hAnsi="Gill Sans MT"/>
                <w:i/>
                <w:iCs/>
                <w:sz w:val="16"/>
                <w:szCs w:val="16"/>
                <w:shd w:val="clear" w:color="auto" w:fill="FFFFFF"/>
              </w:rPr>
              <w:t>GCCAAGCAGGAGGAGTTCT</w:t>
            </w:r>
          </w:p>
        </w:tc>
        <w:tc>
          <w:tcPr>
            <w:tcW w:w="517" w:type="pct"/>
            <w:vMerge w:val="restart"/>
            <w:tcBorders>
              <w:left w:val="nil"/>
              <w:right w:val="nil"/>
            </w:tcBorders>
            <w:vAlign w:val="center"/>
          </w:tcPr>
          <w:p w14:paraId="3B0F12F5"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shd w:val="clear" w:color="auto" w:fill="FFFFFF"/>
              </w:rPr>
              <w:t>135</w:t>
            </w:r>
          </w:p>
        </w:tc>
        <w:tc>
          <w:tcPr>
            <w:tcW w:w="820" w:type="pct"/>
            <w:vMerge w:val="restart"/>
            <w:tcBorders>
              <w:left w:val="nil"/>
              <w:right w:val="nil"/>
            </w:tcBorders>
            <w:vAlign w:val="center"/>
          </w:tcPr>
          <w:p w14:paraId="4C5706FD"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60</w:t>
            </w:r>
          </w:p>
        </w:tc>
      </w:tr>
      <w:tr w:rsidR="00C60047" w:rsidRPr="002C7FC2" w14:paraId="4F240880" w14:textId="77777777" w:rsidTr="00C60047">
        <w:trPr>
          <w:trHeight w:val="20"/>
        </w:trPr>
        <w:tc>
          <w:tcPr>
            <w:tcW w:w="559" w:type="pct"/>
            <w:vMerge/>
            <w:tcBorders>
              <w:left w:val="nil"/>
              <w:bottom w:val="nil"/>
              <w:right w:val="nil"/>
            </w:tcBorders>
            <w:vAlign w:val="center"/>
          </w:tcPr>
          <w:p w14:paraId="2D4E7B71"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115" w:type="pct"/>
            <w:vMerge/>
            <w:tcBorders>
              <w:left w:val="nil"/>
              <w:bottom w:val="nil"/>
              <w:right w:val="nil"/>
            </w:tcBorders>
            <w:vAlign w:val="center"/>
          </w:tcPr>
          <w:p w14:paraId="36E27C16"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989" w:type="pct"/>
            <w:tcBorders>
              <w:top w:val="nil"/>
              <w:left w:val="nil"/>
              <w:bottom w:val="nil"/>
              <w:right w:val="nil"/>
            </w:tcBorders>
            <w:vAlign w:val="center"/>
          </w:tcPr>
          <w:p w14:paraId="29BF3042" w14:textId="77777777" w:rsidR="00C60047" w:rsidRPr="002C7FC2" w:rsidRDefault="00C60047" w:rsidP="00C60047">
            <w:pPr>
              <w:adjustRightInd w:val="0"/>
              <w:snapToGrid w:val="0"/>
              <w:spacing w:line="244" w:lineRule="auto"/>
              <w:rPr>
                <w:rFonts w:ascii="Gill Sans MT" w:hAnsi="Gill Sans MT"/>
                <w:i/>
                <w:iCs/>
                <w:sz w:val="16"/>
                <w:szCs w:val="16"/>
                <w:shd w:val="clear" w:color="auto" w:fill="FFFFFF"/>
              </w:rPr>
            </w:pPr>
            <w:r w:rsidRPr="002C7FC2">
              <w:rPr>
                <w:rFonts w:ascii="Gill Sans MT" w:hAnsi="Gill Sans MT"/>
                <w:i/>
                <w:iCs/>
                <w:sz w:val="16"/>
                <w:szCs w:val="16"/>
                <w:shd w:val="clear" w:color="auto" w:fill="FFFFFF"/>
              </w:rPr>
              <w:t>CTGCTCGCAGTCGTACTTGA</w:t>
            </w:r>
          </w:p>
        </w:tc>
        <w:tc>
          <w:tcPr>
            <w:tcW w:w="517" w:type="pct"/>
            <w:vMerge/>
            <w:tcBorders>
              <w:left w:val="nil"/>
              <w:bottom w:val="nil"/>
              <w:right w:val="nil"/>
            </w:tcBorders>
            <w:vAlign w:val="center"/>
          </w:tcPr>
          <w:p w14:paraId="26AB2CC5"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820" w:type="pct"/>
            <w:vMerge/>
            <w:tcBorders>
              <w:left w:val="nil"/>
              <w:bottom w:val="nil"/>
              <w:right w:val="nil"/>
            </w:tcBorders>
            <w:vAlign w:val="center"/>
          </w:tcPr>
          <w:p w14:paraId="0FE13E69"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r>
      <w:tr w:rsidR="00C60047" w:rsidRPr="002C7FC2" w14:paraId="15EF5BB3" w14:textId="77777777" w:rsidTr="00C60047">
        <w:trPr>
          <w:trHeight w:val="20"/>
        </w:trPr>
        <w:tc>
          <w:tcPr>
            <w:tcW w:w="559" w:type="pct"/>
            <w:vMerge w:val="restart"/>
            <w:tcBorders>
              <w:top w:val="nil"/>
              <w:left w:val="nil"/>
              <w:right w:val="nil"/>
            </w:tcBorders>
            <w:vAlign w:val="center"/>
          </w:tcPr>
          <w:p w14:paraId="346705D8"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NRF-2</w:t>
            </w:r>
          </w:p>
        </w:tc>
        <w:tc>
          <w:tcPr>
            <w:tcW w:w="1115" w:type="pct"/>
            <w:vMerge w:val="restart"/>
            <w:tcBorders>
              <w:top w:val="nil"/>
              <w:left w:val="nil"/>
              <w:right w:val="nil"/>
            </w:tcBorders>
            <w:vAlign w:val="center"/>
          </w:tcPr>
          <w:p w14:paraId="6F580629"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XM_051849399.1</w:t>
            </w:r>
          </w:p>
        </w:tc>
        <w:tc>
          <w:tcPr>
            <w:tcW w:w="1989" w:type="pct"/>
            <w:tcBorders>
              <w:top w:val="nil"/>
              <w:left w:val="nil"/>
              <w:bottom w:val="nil"/>
              <w:right w:val="nil"/>
            </w:tcBorders>
            <w:vAlign w:val="center"/>
          </w:tcPr>
          <w:p w14:paraId="1EF132CE" w14:textId="77777777" w:rsidR="00C60047" w:rsidRPr="002C7FC2" w:rsidRDefault="00C60047" w:rsidP="00C60047">
            <w:pPr>
              <w:adjustRightInd w:val="0"/>
              <w:snapToGrid w:val="0"/>
              <w:spacing w:line="244" w:lineRule="auto"/>
              <w:rPr>
                <w:rFonts w:ascii="Gill Sans MT" w:hAnsi="Gill Sans MT"/>
                <w:i/>
                <w:iCs/>
                <w:sz w:val="16"/>
                <w:szCs w:val="16"/>
                <w:shd w:val="clear" w:color="auto" w:fill="FFFFFF"/>
              </w:rPr>
            </w:pPr>
            <w:r w:rsidRPr="002C7FC2">
              <w:rPr>
                <w:rFonts w:ascii="Gill Sans MT" w:hAnsi="Gill Sans MT"/>
                <w:i/>
                <w:iCs/>
                <w:sz w:val="16"/>
                <w:szCs w:val="16"/>
                <w:shd w:val="clear" w:color="auto" w:fill="FFFFFF"/>
              </w:rPr>
              <w:t>CCAGCTGAGCGTGAACTCAA</w:t>
            </w:r>
          </w:p>
        </w:tc>
        <w:tc>
          <w:tcPr>
            <w:tcW w:w="517" w:type="pct"/>
            <w:vMerge w:val="restart"/>
            <w:tcBorders>
              <w:top w:val="nil"/>
              <w:left w:val="nil"/>
              <w:right w:val="nil"/>
            </w:tcBorders>
            <w:vAlign w:val="center"/>
          </w:tcPr>
          <w:p w14:paraId="2636CF7F"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shd w:val="clear" w:color="auto" w:fill="FFFFFF"/>
              </w:rPr>
              <w:t>94</w:t>
            </w:r>
          </w:p>
        </w:tc>
        <w:tc>
          <w:tcPr>
            <w:tcW w:w="820" w:type="pct"/>
            <w:vMerge w:val="restart"/>
            <w:tcBorders>
              <w:top w:val="nil"/>
              <w:left w:val="nil"/>
              <w:right w:val="nil"/>
            </w:tcBorders>
            <w:vAlign w:val="center"/>
          </w:tcPr>
          <w:p w14:paraId="1FC2F9A1"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60</w:t>
            </w:r>
          </w:p>
        </w:tc>
      </w:tr>
      <w:tr w:rsidR="00C60047" w:rsidRPr="002C7FC2" w14:paraId="2A107EFC" w14:textId="77777777" w:rsidTr="00C60047">
        <w:trPr>
          <w:trHeight w:val="20"/>
        </w:trPr>
        <w:tc>
          <w:tcPr>
            <w:tcW w:w="559" w:type="pct"/>
            <w:vMerge/>
            <w:tcBorders>
              <w:left w:val="nil"/>
              <w:bottom w:val="nil"/>
              <w:right w:val="nil"/>
            </w:tcBorders>
            <w:vAlign w:val="center"/>
          </w:tcPr>
          <w:p w14:paraId="1A9D9D13"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115" w:type="pct"/>
            <w:vMerge/>
            <w:tcBorders>
              <w:left w:val="nil"/>
              <w:bottom w:val="nil"/>
              <w:right w:val="nil"/>
            </w:tcBorders>
            <w:vAlign w:val="center"/>
          </w:tcPr>
          <w:p w14:paraId="2B9F9A7A"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989" w:type="pct"/>
            <w:tcBorders>
              <w:top w:val="nil"/>
              <w:left w:val="nil"/>
              <w:bottom w:val="nil"/>
              <w:right w:val="nil"/>
            </w:tcBorders>
            <w:vAlign w:val="center"/>
          </w:tcPr>
          <w:p w14:paraId="24F5F31E"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GCTGTTGCTGACACTGGGTT</w:t>
            </w:r>
          </w:p>
        </w:tc>
        <w:tc>
          <w:tcPr>
            <w:tcW w:w="517" w:type="pct"/>
            <w:vMerge/>
            <w:tcBorders>
              <w:left w:val="nil"/>
              <w:bottom w:val="nil"/>
              <w:right w:val="nil"/>
            </w:tcBorders>
            <w:vAlign w:val="center"/>
          </w:tcPr>
          <w:p w14:paraId="0A7C939A"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820" w:type="pct"/>
            <w:vMerge/>
            <w:tcBorders>
              <w:left w:val="nil"/>
              <w:bottom w:val="nil"/>
              <w:right w:val="nil"/>
            </w:tcBorders>
            <w:vAlign w:val="center"/>
          </w:tcPr>
          <w:p w14:paraId="68373C48"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r>
      <w:tr w:rsidR="00C60047" w:rsidRPr="002C7FC2" w14:paraId="2E1E470A" w14:textId="77777777" w:rsidTr="00C60047">
        <w:trPr>
          <w:trHeight w:val="20"/>
        </w:trPr>
        <w:tc>
          <w:tcPr>
            <w:tcW w:w="559" w:type="pct"/>
            <w:vMerge w:val="restart"/>
            <w:tcBorders>
              <w:top w:val="nil"/>
              <w:left w:val="nil"/>
              <w:right w:val="nil"/>
            </w:tcBorders>
            <w:vAlign w:val="center"/>
          </w:tcPr>
          <w:p w14:paraId="55E44171"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Bax</w:t>
            </w:r>
          </w:p>
        </w:tc>
        <w:tc>
          <w:tcPr>
            <w:tcW w:w="1115" w:type="pct"/>
            <w:vMerge w:val="restart"/>
            <w:tcBorders>
              <w:top w:val="nil"/>
              <w:left w:val="nil"/>
              <w:right w:val="nil"/>
            </w:tcBorders>
            <w:vAlign w:val="center"/>
          </w:tcPr>
          <w:p w14:paraId="30AF7939"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XM_008252361.3</w:t>
            </w:r>
          </w:p>
        </w:tc>
        <w:tc>
          <w:tcPr>
            <w:tcW w:w="1989" w:type="pct"/>
            <w:tcBorders>
              <w:top w:val="nil"/>
              <w:left w:val="nil"/>
              <w:bottom w:val="nil"/>
              <w:right w:val="nil"/>
            </w:tcBorders>
            <w:vAlign w:val="center"/>
          </w:tcPr>
          <w:p w14:paraId="56CA4C22"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GCCGACGGCAACTTCAACT</w:t>
            </w:r>
          </w:p>
        </w:tc>
        <w:tc>
          <w:tcPr>
            <w:tcW w:w="517" w:type="pct"/>
            <w:vMerge w:val="restart"/>
            <w:tcBorders>
              <w:top w:val="nil"/>
              <w:left w:val="nil"/>
              <w:right w:val="nil"/>
            </w:tcBorders>
            <w:vAlign w:val="center"/>
          </w:tcPr>
          <w:p w14:paraId="29D798AF"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73</w:t>
            </w:r>
          </w:p>
        </w:tc>
        <w:tc>
          <w:tcPr>
            <w:tcW w:w="820" w:type="pct"/>
            <w:vMerge w:val="restart"/>
            <w:tcBorders>
              <w:top w:val="nil"/>
              <w:left w:val="nil"/>
              <w:right w:val="nil"/>
            </w:tcBorders>
            <w:vAlign w:val="center"/>
          </w:tcPr>
          <w:p w14:paraId="4F092D5E"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60</w:t>
            </w:r>
          </w:p>
        </w:tc>
      </w:tr>
      <w:tr w:rsidR="00C60047" w:rsidRPr="002C7FC2" w14:paraId="4F6B34F0" w14:textId="77777777" w:rsidTr="00C60047">
        <w:trPr>
          <w:trHeight w:val="20"/>
        </w:trPr>
        <w:tc>
          <w:tcPr>
            <w:tcW w:w="559" w:type="pct"/>
            <w:vMerge/>
            <w:tcBorders>
              <w:left w:val="nil"/>
              <w:bottom w:val="nil"/>
              <w:right w:val="nil"/>
            </w:tcBorders>
            <w:vAlign w:val="center"/>
          </w:tcPr>
          <w:p w14:paraId="5A9826F1"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115" w:type="pct"/>
            <w:vMerge/>
            <w:tcBorders>
              <w:left w:val="nil"/>
              <w:bottom w:val="nil"/>
              <w:right w:val="nil"/>
            </w:tcBorders>
            <w:vAlign w:val="center"/>
          </w:tcPr>
          <w:p w14:paraId="1A1AE35D"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989" w:type="pct"/>
            <w:tcBorders>
              <w:top w:val="nil"/>
              <w:left w:val="nil"/>
              <w:bottom w:val="nil"/>
              <w:right w:val="nil"/>
            </w:tcBorders>
            <w:vAlign w:val="center"/>
          </w:tcPr>
          <w:p w14:paraId="14912B46"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GGGCCTTGAGTACCAGCTT</w:t>
            </w:r>
          </w:p>
        </w:tc>
        <w:tc>
          <w:tcPr>
            <w:tcW w:w="517" w:type="pct"/>
            <w:vMerge/>
            <w:tcBorders>
              <w:left w:val="nil"/>
              <w:bottom w:val="nil"/>
              <w:right w:val="nil"/>
            </w:tcBorders>
            <w:vAlign w:val="center"/>
          </w:tcPr>
          <w:p w14:paraId="2035D0A8"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820" w:type="pct"/>
            <w:vMerge/>
            <w:tcBorders>
              <w:left w:val="nil"/>
              <w:bottom w:val="nil"/>
              <w:right w:val="nil"/>
            </w:tcBorders>
            <w:vAlign w:val="center"/>
          </w:tcPr>
          <w:p w14:paraId="4B9287A9"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r>
      <w:tr w:rsidR="00C60047" w:rsidRPr="002C7FC2" w14:paraId="6A973F4E" w14:textId="77777777" w:rsidTr="00C60047">
        <w:trPr>
          <w:trHeight w:val="20"/>
        </w:trPr>
        <w:tc>
          <w:tcPr>
            <w:tcW w:w="559" w:type="pct"/>
            <w:vMerge w:val="restart"/>
            <w:tcBorders>
              <w:top w:val="nil"/>
              <w:left w:val="nil"/>
              <w:right w:val="nil"/>
            </w:tcBorders>
            <w:vAlign w:val="center"/>
          </w:tcPr>
          <w:p w14:paraId="5EDAAD28"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Bcl-2</w:t>
            </w:r>
          </w:p>
        </w:tc>
        <w:tc>
          <w:tcPr>
            <w:tcW w:w="1115" w:type="pct"/>
            <w:vMerge w:val="restart"/>
            <w:tcBorders>
              <w:top w:val="nil"/>
              <w:left w:val="nil"/>
              <w:right w:val="nil"/>
            </w:tcBorders>
            <w:vAlign w:val="center"/>
          </w:tcPr>
          <w:p w14:paraId="0631CCCC"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XM_008261439.3</w:t>
            </w:r>
          </w:p>
        </w:tc>
        <w:tc>
          <w:tcPr>
            <w:tcW w:w="1989" w:type="pct"/>
            <w:tcBorders>
              <w:top w:val="nil"/>
              <w:left w:val="nil"/>
              <w:bottom w:val="nil"/>
              <w:right w:val="nil"/>
            </w:tcBorders>
            <w:vAlign w:val="center"/>
          </w:tcPr>
          <w:p w14:paraId="3F8A6BDA"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GCACACCTGGATCCAGGAT</w:t>
            </w:r>
          </w:p>
        </w:tc>
        <w:tc>
          <w:tcPr>
            <w:tcW w:w="517" w:type="pct"/>
            <w:vMerge w:val="restart"/>
            <w:tcBorders>
              <w:top w:val="nil"/>
              <w:left w:val="nil"/>
              <w:right w:val="nil"/>
            </w:tcBorders>
            <w:vAlign w:val="center"/>
          </w:tcPr>
          <w:p w14:paraId="3C585772"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89</w:t>
            </w:r>
          </w:p>
        </w:tc>
        <w:tc>
          <w:tcPr>
            <w:tcW w:w="820" w:type="pct"/>
            <w:vMerge w:val="restart"/>
            <w:tcBorders>
              <w:top w:val="nil"/>
              <w:left w:val="nil"/>
              <w:right w:val="nil"/>
            </w:tcBorders>
            <w:vAlign w:val="center"/>
          </w:tcPr>
          <w:p w14:paraId="241F94AC"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60</w:t>
            </w:r>
          </w:p>
        </w:tc>
      </w:tr>
      <w:tr w:rsidR="00C60047" w:rsidRPr="002C7FC2" w14:paraId="33C04BD5" w14:textId="77777777" w:rsidTr="00C60047">
        <w:trPr>
          <w:trHeight w:val="20"/>
        </w:trPr>
        <w:tc>
          <w:tcPr>
            <w:tcW w:w="559" w:type="pct"/>
            <w:vMerge/>
            <w:tcBorders>
              <w:left w:val="nil"/>
              <w:bottom w:val="nil"/>
              <w:right w:val="nil"/>
            </w:tcBorders>
            <w:vAlign w:val="center"/>
          </w:tcPr>
          <w:p w14:paraId="476495B6" w14:textId="77777777" w:rsidR="00C60047" w:rsidRPr="002C7FC2" w:rsidRDefault="00C60047" w:rsidP="00C60047">
            <w:pPr>
              <w:adjustRightInd w:val="0"/>
              <w:snapToGrid w:val="0"/>
              <w:spacing w:line="244" w:lineRule="auto"/>
              <w:rPr>
                <w:rFonts w:ascii="Gill Sans MT" w:hAnsi="Gill Sans MT"/>
                <w:i/>
                <w:iCs/>
                <w:sz w:val="16"/>
                <w:szCs w:val="16"/>
                <w:shd w:val="clear" w:color="auto" w:fill="FFFFFF"/>
              </w:rPr>
            </w:pPr>
          </w:p>
        </w:tc>
        <w:tc>
          <w:tcPr>
            <w:tcW w:w="1115" w:type="pct"/>
            <w:vMerge/>
            <w:tcBorders>
              <w:left w:val="nil"/>
              <w:bottom w:val="nil"/>
              <w:right w:val="nil"/>
            </w:tcBorders>
            <w:vAlign w:val="center"/>
          </w:tcPr>
          <w:p w14:paraId="78D0430D"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989" w:type="pct"/>
            <w:tcBorders>
              <w:top w:val="nil"/>
              <w:left w:val="nil"/>
              <w:bottom w:val="nil"/>
              <w:right w:val="nil"/>
            </w:tcBorders>
            <w:vAlign w:val="center"/>
          </w:tcPr>
          <w:p w14:paraId="68A9450D"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CCCAGGAGAAGTCTGACAGA</w:t>
            </w:r>
          </w:p>
        </w:tc>
        <w:tc>
          <w:tcPr>
            <w:tcW w:w="517" w:type="pct"/>
            <w:vMerge/>
            <w:tcBorders>
              <w:left w:val="nil"/>
              <w:bottom w:val="nil"/>
              <w:right w:val="nil"/>
            </w:tcBorders>
            <w:vAlign w:val="center"/>
          </w:tcPr>
          <w:p w14:paraId="40CB0353"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820" w:type="pct"/>
            <w:vMerge/>
            <w:tcBorders>
              <w:left w:val="nil"/>
              <w:bottom w:val="nil"/>
              <w:right w:val="nil"/>
            </w:tcBorders>
            <w:vAlign w:val="center"/>
          </w:tcPr>
          <w:p w14:paraId="474B6DCE"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r>
      <w:tr w:rsidR="00C60047" w:rsidRPr="002C7FC2" w14:paraId="49D2564C" w14:textId="77777777" w:rsidTr="00C60047">
        <w:trPr>
          <w:trHeight w:val="20"/>
        </w:trPr>
        <w:tc>
          <w:tcPr>
            <w:tcW w:w="559" w:type="pct"/>
            <w:vMerge w:val="restart"/>
            <w:tcBorders>
              <w:top w:val="nil"/>
              <w:left w:val="nil"/>
              <w:right w:val="nil"/>
            </w:tcBorders>
            <w:vAlign w:val="center"/>
          </w:tcPr>
          <w:p w14:paraId="7329F59B"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Caspase3</w:t>
            </w:r>
          </w:p>
        </w:tc>
        <w:tc>
          <w:tcPr>
            <w:tcW w:w="1115" w:type="pct"/>
            <w:vMerge w:val="restart"/>
            <w:tcBorders>
              <w:top w:val="nil"/>
              <w:left w:val="nil"/>
              <w:right w:val="nil"/>
            </w:tcBorders>
            <w:vAlign w:val="center"/>
          </w:tcPr>
          <w:p w14:paraId="2BC0233C"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NM_001082117.1</w:t>
            </w:r>
          </w:p>
        </w:tc>
        <w:tc>
          <w:tcPr>
            <w:tcW w:w="1989" w:type="pct"/>
            <w:tcBorders>
              <w:top w:val="nil"/>
              <w:left w:val="nil"/>
              <w:bottom w:val="nil"/>
              <w:right w:val="nil"/>
            </w:tcBorders>
            <w:vAlign w:val="center"/>
          </w:tcPr>
          <w:p w14:paraId="05148C3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GTCCCTGTGTGCCATGCTGAA</w:t>
            </w:r>
          </w:p>
        </w:tc>
        <w:tc>
          <w:tcPr>
            <w:tcW w:w="517" w:type="pct"/>
            <w:vMerge w:val="restart"/>
            <w:tcBorders>
              <w:top w:val="nil"/>
              <w:left w:val="nil"/>
              <w:right w:val="nil"/>
            </w:tcBorders>
            <w:vAlign w:val="center"/>
          </w:tcPr>
          <w:p w14:paraId="0054D908"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86</w:t>
            </w:r>
          </w:p>
        </w:tc>
        <w:tc>
          <w:tcPr>
            <w:tcW w:w="820" w:type="pct"/>
            <w:vMerge w:val="restart"/>
            <w:tcBorders>
              <w:top w:val="nil"/>
              <w:left w:val="nil"/>
              <w:right w:val="nil"/>
            </w:tcBorders>
            <w:vAlign w:val="center"/>
          </w:tcPr>
          <w:p w14:paraId="5216A55A"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60</w:t>
            </w:r>
          </w:p>
        </w:tc>
      </w:tr>
      <w:tr w:rsidR="00C60047" w:rsidRPr="002C7FC2" w14:paraId="0398CAFC" w14:textId="77777777" w:rsidTr="00C60047">
        <w:trPr>
          <w:trHeight w:val="20"/>
        </w:trPr>
        <w:tc>
          <w:tcPr>
            <w:tcW w:w="559" w:type="pct"/>
            <w:vMerge/>
            <w:tcBorders>
              <w:left w:val="nil"/>
              <w:bottom w:val="nil"/>
              <w:right w:val="nil"/>
            </w:tcBorders>
            <w:vAlign w:val="center"/>
          </w:tcPr>
          <w:p w14:paraId="2545795A"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115" w:type="pct"/>
            <w:vMerge/>
            <w:tcBorders>
              <w:left w:val="nil"/>
              <w:bottom w:val="nil"/>
              <w:right w:val="nil"/>
            </w:tcBorders>
            <w:vAlign w:val="center"/>
          </w:tcPr>
          <w:p w14:paraId="754D4011"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989" w:type="pct"/>
            <w:tcBorders>
              <w:top w:val="nil"/>
              <w:left w:val="nil"/>
              <w:bottom w:val="nil"/>
              <w:right w:val="nil"/>
            </w:tcBorders>
            <w:vAlign w:val="center"/>
          </w:tcPr>
          <w:p w14:paraId="2F9FCC3B"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CTGTCGCTACCTTCCGGTTCA</w:t>
            </w:r>
          </w:p>
        </w:tc>
        <w:tc>
          <w:tcPr>
            <w:tcW w:w="517" w:type="pct"/>
            <w:vMerge/>
            <w:tcBorders>
              <w:left w:val="nil"/>
              <w:bottom w:val="nil"/>
              <w:right w:val="nil"/>
            </w:tcBorders>
            <w:vAlign w:val="center"/>
          </w:tcPr>
          <w:p w14:paraId="206AB73F"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820" w:type="pct"/>
            <w:vMerge/>
            <w:tcBorders>
              <w:left w:val="nil"/>
              <w:bottom w:val="nil"/>
              <w:right w:val="nil"/>
            </w:tcBorders>
            <w:vAlign w:val="center"/>
          </w:tcPr>
          <w:p w14:paraId="3904AE20"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r>
      <w:tr w:rsidR="00C60047" w:rsidRPr="002C7FC2" w14:paraId="4B11E4C2" w14:textId="77777777" w:rsidTr="00C60047">
        <w:trPr>
          <w:trHeight w:val="20"/>
        </w:trPr>
        <w:tc>
          <w:tcPr>
            <w:tcW w:w="559" w:type="pct"/>
            <w:vMerge w:val="restart"/>
            <w:tcBorders>
              <w:top w:val="nil"/>
              <w:left w:val="nil"/>
              <w:right w:val="nil"/>
            </w:tcBorders>
            <w:vAlign w:val="center"/>
          </w:tcPr>
          <w:p w14:paraId="17AFD25B"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GAPDH</w:t>
            </w:r>
          </w:p>
        </w:tc>
        <w:tc>
          <w:tcPr>
            <w:tcW w:w="1115" w:type="pct"/>
            <w:vMerge w:val="restart"/>
            <w:tcBorders>
              <w:top w:val="nil"/>
              <w:left w:val="nil"/>
              <w:right w:val="nil"/>
            </w:tcBorders>
            <w:vAlign w:val="center"/>
          </w:tcPr>
          <w:p w14:paraId="4F25B85C"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NM_001082253.1</w:t>
            </w:r>
          </w:p>
        </w:tc>
        <w:tc>
          <w:tcPr>
            <w:tcW w:w="1989" w:type="pct"/>
            <w:tcBorders>
              <w:top w:val="nil"/>
              <w:left w:val="nil"/>
              <w:bottom w:val="nil"/>
              <w:right w:val="nil"/>
            </w:tcBorders>
            <w:vAlign w:val="center"/>
          </w:tcPr>
          <w:p w14:paraId="751E9050"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CCGCCTGGAGAAAGCTGCTAA</w:t>
            </w:r>
          </w:p>
        </w:tc>
        <w:tc>
          <w:tcPr>
            <w:tcW w:w="517" w:type="pct"/>
            <w:vMerge w:val="restart"/>
            <w:tcBorders>
              <w:top w:val="nil"/>
              <w:left w:val="nil"/>
              <w:right w:val="nil"/>
            </w:tcBorders>
            <w:vAlign w:val="center"/>
          </w:tcPr>
          <w:p w14:paraId="309346AC"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105</w:t>
            </w:r>
          </w:p>
        </w:tc>
        <w:tc>
          <w:tcPr>
            <w:tcW w:w="820" w:type="pct"/>
            <w:vMerge w:val="restart"/>
            <w:tcBorders>
              <w:top w:val="nil"/>
              <w:left w:val="nil"/>
              <w:right w:val="nil"/>
            </w:tcBorders>
            <w:vAlign w:val="center"/>
          </w:tcPr>
          <w:p w14:paraId="1D0B06D5"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60</w:t>
            </w:r>
          </w:p>
        </w:tc>
      </w:tr>
      <w:tr w:rsidR="00C60047" w:rsidRPr="002C7FC2" w14:paraId="35EDB4AB" w14:textId="77777777" w:rsidTr="00C60047">
        <w:trPr>
          <w:trHeight w:val="20"/>
        </w:trPr>
        <w:tc>
          <w:tcPr>
            <w:tcW w:w="559" w:type="pct"/>
            <w:vMerge/>
            <w:tcBorders>
              <w:left w:val="nil"/>
              <w:right w:val="nil"/>
            </w:tcBorders>
          </w:tcPr>
          <w:p w14:paraId="0881B5FB"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115" w:type="pct"/>
            <w:vMerge/>
            <w:tcBorders>
              <w:left w:val="nil"/>
              <w:right w:val="nil"/>
            </w:tcBorders>
          </w:tcPr>
          <w:p w14:paraId="732F06F1"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1989" w:type="pct"/>
            <w:tcBorders>
              <w:top w:val="nil"/>
              <w:left w:val="nil"/>
              <w:right w:val="nil"/>
            </w:tcBorders>
          </w:tcPr>
          <w:p w14:paraId="6E2A448F"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r w:rsidRPr="002C7FC2">
              <w:rPr>
                <w:rFonts w:ascii="Gill Sans MT" w:hAnsi="Gill Sans MT"/>
                <w:sz w:val="16"/>
                <w:szCs w:val="16"/>
              </w:rPr>
              <w:t>ACGACCTGGTCCTCGGTGTA</w:t>
            </w:r>
          </w:p>
        </w:tc>
        <w:tc>
          <w:tcPr>
            <w:tcW w:w="517" w:type="pct"/>
            <w:vMerge/>
            <w:tcBorders>
              <w:left w:val="nil"/>
              <w:right w:val="nil"/>
            </w:tcBorders>
          </w:tcPr>
          <w:p w14:paraId="66950946"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c>
          <w:tcPr>
            <w:tcW w:w="820" w:type="pct"/>
            <w:vMerge/>
            <w:tcBorders>
              <w:left w:val="nil"/>
              <w:right w:val="nil"/>
            </w:tcBorders>
          </w:tcPr>
          <w:p w14:paraId="7E91AED9" w14:textId="77777777" w:rsidR="00C60047" w:rsidRPr="002C7FC2" w:rsidRDefault="00C60047" w:rsidP="00C60047">
            <w:pPr>
              <w:adjustRightInd w:val="0"/>
              <w:snapToGrid w:val="0"/>
              <w:spacing w:line="244" w:lineRule="auto"/>
              <w:rPr>
                <w:rFonts w:ascii="Gill Sans MT" w:hAnsi="Gill Sans MT"/>
                <w:sz w:val="16"/>
                <w:szCs w:val="16"/>
                <w:shd w:val="clear" w:color="auto" w:fill="FFFFFF"/>
              </w:rPr>
            </w:pPr>
          </w:p>
        </w:tc>
      </w:tr>
      <w:bookmarkEnd w:id="5"/>
    </w:tbl>
    <w:p w14:paraId="19CB80EA" w14:textId="77777777" w:rsidR="00C60047" w:rsidRDefault="00C60047" w:rsidP="00C60047">
      <w:pPr>
        <w:pStyle w:val="Caption"/>
        <w:adjustRightInd w:val="0"/>
        <w:snapToGrid w:val="0"/>
        <w:spacing w:after="0" w:line="244" w:lineRule="auto"/>
        <w:rPr>
          <w:rFonts w:ascii="Gill Sans MT" w:eastAsia="Times New Roman" w:hAnsi="Gill Sans MT"/>
          <w:b/>
          <w:bCs/>
          <w:i w:val="0"/>
          <w:iCs w:val="0"/>
          <w:color w:val="auto"/>
          <w:sz w:val="16"/>
          <w:szCs w:val="16"/>
          <w:lang w:val="en-US"/>
        </w:rPr>
      </w:pPr>
    </w:p>
    <w:p w14:paraId="4BEDA2FA" w14:textId="33F003B8" w:rsidR="00C60047" w:rsidRPr="00C60047" w:rsidRDefault="00C60047" w:rsidP="00C60047">
      <w:pPr>
        <w:pStyle w:val="Caption"/>
        <w:adjustRightInd w:val="0"/>
        <w:snapToGrid w:val="0"/>
        <w:spacing w:after="0" w:line="244" w:lineRule="auto"/>
        <w:rPr>
          <w:rFonts w:ascii="Gill Sans MT" w:eastAsia="Times New Roman" w:hAnsi="Gill Sans MT"/>
          <w:i w:val="0"/>
          <w:iCs w:val="0"/>
          <w:color w:val="auto"/>
          <w:sz w:val="16"/>
          <w:szCs w:val="16"/>
          <w:lang w:val="en-US"/>
        </w:rPr>
      </w:pPr>
      <w:r w:rsidRPr="00C60047">
        <w:rPr>
          <w:rFonts w:ascii="Gill Sans MT" w:eastAsia="Times New Roman" w:hAnsi="Gill Sans MT"/>
          <w:b/>
          <w:bCs/>
          <w:i w:val="0"/>
          <w:iCs w:val="0"/>
          <w:color w:val="auto"/>
          <w:sz w:val="16"/>
          <w:szCs w:val="16"/>
          <w:lang w:val="en-US"/>
        </w:rPr>
        <w:t>Table 4:</w:t>
      </w:r>
      <w:r w:rsidRPr="00C60047">
        <w:rPr>
          <w:rFonts w:ascii="Gill Sans MT" w:eastAsia="Times New Roman" w:hAnsi="Gill Sans MT"/>
          <w:i w:val="0"/>
          <w:iCs w:val="0"/>
          <w:color w:val="auto"/>
          <w:sz w:val="16"/>
          <w:szCs w:val="16"/>
          <w:lang w:val="en-US"/>
        </w:rPr>
        <w:t xml:space="preserve"> Effects of diets supplemented with various concentrations of LC on fresh semen quality in Fujian Yellow rabbits </w:t>
      </w:r>
    </w:p>
    <w:tbl>
      <w:tblPr>
        <w:tblStyle w:val="TableGrid"/>
        <w:tblW w:w="5000" w:type="pct"/>
        <w:tblCellMar>
          <w:left w:w="14" w:type="dxa"/>
          <w:right w:w="14" w:type="dxa"/>
        </w:tblCellMar>
        <w:tblLook w:val="04A0" w:firstRow="1" w:lastRow="0" w:firstColumn="1" w:lastColumn="0" w:noHBand="0" w:noVBand="1"/>
      </w:tblPr>
      <w:tblGrid>
        <w:gridCol w:w="2111"/>
        <w:gridCol w:w="1387"/>
        <w:gridCol w:w="1451"/>
        <w:gridCol w:w="1336"/>
        <w:gridCol w:w="1379"/>
        <w:gridCol w:w="1379"/>
        <w:gridCol w:w="706"/>
      </w:tblGrid>
      <w:tr w:rsidR="00C60047" w:rsidRPr="002C7FC2" w14:paraId="2935B4F5" w14:textId="77777777" w:rsidTr="00C60047">
        <w:trPr>
          <w:trHeight w:val="20"/>
        </w:trPr>
        <w:tc>
          <w:tcPr>
            <w:tcW w:w="1083" w:type="pct"/>
            <w:vMerge w:val="restart"/>
            <w:tcBorders>
              <w:left w:val="nil"/>
              <w:right w:val="nil"/>
            </w:tcBorders>
            <w:vAlign w:val="center"/>
          </w:tcPr>
          <w:p w14:paraId="76921D7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Parameter</w:t>
            </w:r>
          </w:p>
        </w:tc>
        <w:tc>
          <w:tcPr>
            <w:tcW w:w="3554" w:type="pct"/>
            <w:gridSpan w:val="5"/>
            <w:tcBorders>
              <w:left w:val="nil"/>
              <w:right w:val="nil"/>
            </w:tcBorders>
            <w:vAlign w:val="center"/>
          </w:tcPr>
          <w:p w14:paraId="5E817DD4" w14:textId="77777777" w:rsidR="00C60047" w:rsidRPr="002C7FC2" w:rsidRDefault="00C60047" w:rsidP="00C60047">
            <w:pPr>
              <w:adjustRightInd w:val="0"/>
              <w:snapToGrid w:val="0"/>
              <w:spacing w:line="244" w:lineRule="auto"/>
              <w:jc w:val="center"/>
              <w:rPr>
                <w:rFonts w:ascii="Gill Sans MT" w:hAnsi="Gill Sans MT"/>
                <w:sz w:val="16"/>
                <w:szCs w:val="16"/>
              </w:rPr>
            </w:pPr>
            <w:r w:rsidRPr="002C7FC2">
              <w:rPr>
                <w:rFonts w:ascii="Gill Sans MT" w:hAnsi="Gill Sans MT"/>
                <w:sz w:val="16"/>
                <w:szCs w:val="16"/>
              </w:rPr>
              <w:t>Treatments</w:t>
            </w:r>
          </w:p>
        </w:tc>
        <w:tc>
          <w:tcPr>
            <w:tcW w:w="363" w:type="pct"/>
            <w:vMerge w:val="restart"/>
            <w:tcBorders>
              <w:left w:val="nil"/>
              <w:right w:val="nil"/>
            </w:tcBorders>
            <w:vAlign w:val="center"/>
          </w:tcPr>
          <w:p w14:paraId="28C503F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p-value</w:t>
            </w:r>
          </w:p>
        </w:tc>
      </w:tr>
      <w:tr w:rsidR="00C60047" w:rsidRPr="002C7FC2" w14:paraId="4800A9E3" w14:textId="77777777" w:rsidTr="00C60047">
        <w:trPr>
          <w:trHeight w:val="20"/>
        </w:trPr>
        <w:tc>
          <w:tcPr>
            <w:tcW w:w="1083" w:type="pct"/>
            <w:vMerge/>
            <w:tcBorders>
              <w:left w:val="nil"/>
              <w:right w:val="nil"/>
            </w:tcBorders>
            <w:vAlign w:val="center"/>
          </w:tcPr>
          <w:p w14:paraId="0C6BE483" w14:textId="77777777" w:rsidR="00C60047" w:rsidRPr="002C7FC2" w:rsidRDefault="00C60047" w:rsidP="00C60047">
            <w:pPr>
              <w:adjustRightInd w:val="0"/>
              <w:snapToGrid w:val="0"/>
              <w:spacing w:line="244" w:lineRule="auto"/>
              <w:rPr>
                <w:rFonts w:ascii="Gill Sans MT" w:hAnsi="Gill Sans MT"/>
                <w:sz w:val="16"/>
                <w:szCs w:val="16"/>
              </w:rPr>
            </w:pPr>
          </w:p>
        </w:tc>
        <w:tc>
          <w:tcPr>
            <w:tcW w:w="712" w:type="pct"/>
            <w:tcBorders>
              <w:left w:val="nil"/>
              <w:right w:val="nil"/>
            </w:tcBorders>
            <w:vAlign w:val="center"/>
          </w:tcPr>
          <w:p w14:paraId="222A305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LC0</w:t>
            </w:r>
          </w:p>
        </w:tc>
        <w:tc>
          <w:tcPr>
            <w:tcW w:w="744" w:type="pct"/>
            <w:tcBorders>
              <w:left w:val="nil"/>
              <w:right w:val="nil"/>
            </w:tcBorders>
            <w:vAlign w:val="center"/>
          </w:tcPr>
          <w:p w14:paraId="478D164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LC75</w:t>
            </w:r>
          </w:p>
        </w:tc>
        <w:tc>
          <w:tcPr>
            <w:tcW w:w="685" w:type="pct"/>
            <w:tcBorders>
              <w:left w:val="nil"/>
              <w:right w:val="nil"/>
            </w:tcBorders>
            <w:vAlign w:val="center"/>
          </w:tcPr>
          <w:p w14:paraId="0A9D779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LC150</w:t>
            </w:r>
          </w:p>
        </w:tc>
        <w:tc>
          <w:tcPr>
            <w:tcW w:w="707" w:type="pct"/>
            <w:tcBorders>
              <w:left w:val="nil"/>
              <w:right w:val="nil"/>
            </w:tcBorders>
            <w:vAlign w:val="center"/>
          </w:tcPr>
          <w:p w14:paraId="5602B499"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LC300</w:t>
            </w:r>
          </w:p>
        </w:tc>
        <w:tc>
          <w:tcPr>
            <w:tcW w:w="707" w:type="pct"/>
            <w:tcBorders>
              <w:left w:val="nil"/>
              <w:right w:val="nil"/>
            </w:tcBorders>
            <w:vAlign w:val="center"/>
          </w:tcPr>
          <w:p w14:paraId="40D7475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LC450</w:t>
            </w:r>
          </w:p>
        </w:tc>
        <w:tc>
          <w:tcPr>
            <w:tcW w:w="363" w:type="pct"/>
            <w:vMerge/>
            <w:tcBorders>
              <w:left w:val="nil"/>
              <w:right w:val="nil"/>
            </w:tcBorders>
            <w:vAlign w:val="center"/>
          </w:tcPr>
          <w:p w14:paraId="1DD9CFAC" w14:textId="77777777" w:rsidR="00C60047" w:rsidRPr="002C7FC2" w:rsidRDefault="00C60047" w:rsidP="00C60047">
            <w:pPr>
              <w:adjustRightInd w:val="0"/>
              <w:snapToGrid w:val="0"/>
              <w:spacing w:line="244" w:lineRule="auto"/>
              <w:rPr>
                <w:rFonts w:ascii="Gill Sans MT" w:hAnsi="Gill Sans MT"/>
                <w:sz w:val="16"/>
                <w:szCs w:val="16"/>
              </w:rPr>
            </w:pPr>
          </w:p>
        </w:tc>
      </w:tr>
      <w:tr w:rsidR="00C60047" w:rsidRPr="002C7FC2" w14:paraId="4D0C4D80" w14:textId="77777777" w:rsidTr="00C60047">
        <w:trPr>
          <w:trHeight w:val="20"/>
        </w:trPr>
        <w:tc>
          <w:tcPr>
            <w:tcW w:w="1083" w:type="pct"/>
            <w:tcBorders>
              <w:left w:val="nil"/>
              <w:bottom w:val="nil"/>
              <w:right w:val="nil"/>
            </w:tcBorders>
            <w:vAlign w:val="center"/>
          </w:tcPr>
          <w:p w14:paraId="5C825057"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Ejaculate volume (mL)</w:t>
            </w:r>
          </w:p>
        </w:tc>
        <w:tc>
          <w:tcPr>
            <w:tcW w:w="712" w:type="pct"/>
            <w:tcBorders>
              <w:left w:val="nil"/>
              <w:bottom w:val="nil"/>
              <w:right w:val="nil"/>
            </w:tcBorders>
            <w:vAlign w:val="center"/>
          </w:tcPr>
          <w:p w14:paraId="0E510282"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0.53±0.08</w:t>
            </w:r>
            <w:r w:rsidRPr="002C7FC2">
              <w:rPr>
                <w:rFonts w:ascii="Gill Sans MT" w:hAnsi="Gill Sans MT"/>
                <w:sz w:val="16"/>
                <w:szCs w:val="16"/>
                <w:vertAlign w:val="superscript"/>
              </w:rPr>
              <w:t>b</w:t>
            </w:r>
          </w:p>
        </w:tc>
        <w:tc>
          <w:tcPr>
            <w:tcW w:w="744" w:type="pct"/>
            <w:tcBorders>
              <w:left w:val="nil"/>
              <w:bottom w:val="nil"/>
              <w:right w:val="nil"/>
            </w:tcBorders>
            <w:vAlign w:val="center"/>
          </w:tcPr>
          <w:p w14:paraId="54D9F417"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0.53±0.09</w:t>
            </w:r>
            <w:r w:rsidRPr="002C7FC2">
              <w:rPr>
                <w:rFonts w:ascii="Gill Sans MT" w:hAnsi="Gill Sans MT"/>
                <w:sz w:val="16"/>
                <w:szCs w:val="16"/>
                <w:vertAlign w:val="superscript"/>
              </w:rPr>
              <w:t>b</w:t>
            </w:r>
          </w:p>
        </w:tc>
        <w:tc>
          <w:tcPr>
            <w:tcW w:w="685" w:type="pct"/>
            <w:tcBorders>
              <w:left w:val="nil"/>
              <w:bottom w:val="nil"/>
              <w:right w:val="nil"/>
            </w:tcBorders>
            <w:vAlign w:val="center"/>
          </w:tcPr>
          <w:p w14:paraId="4875FF6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0.91±0.10</w:t>
            </w:r>
            <w:r w:rsidRPr="002C7FC2">
              <w:rPr>
                <w:rFonts w:ascii="Gill Sans MT" w:hAnsi="Gill Sans MT"/>
                <w:sz w:val="16"/>
                <w:szCs w:val="16"/>
                <w:vertAlign w:val="superscript"/>
              </w:rPr>
              <w:t>a</w:t>
            </w:r>
          </w:p>
        </w:tc>
        <w:tc>
          <w:tcPr>
            <w:tcW w:w="707" w:type="pct"/>
            <w:tcBorders>
              <w:left w:val="nil"/>
              <w:bottom w:val="nil"/>
              <w:right w:val="nil"/>
            </w:tcBorders>
            <w:vAlign w:val="center"/>
          </w:tcPr>
          <w:p w14:paraId="71D40594"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0.80±0.07</w:t>
            </w:r>
            <w:r w:rsidRPr="002C7FC2">
              <w:rPr>
                <w:rFonts w:ascii="Gill Sans MT" w:hAnsi="Gill Sans MT"/>
                <w:sz w:val="16"/>
                <w:szCs w:val="16"/>
                <w:vertAlign w:val="superscript"/>
              </w:rPr>
              <w:t>a</w:t>
            </w:r>
          </w:p>
        </w:tc>
        <w:tc>
          <w:tcPr>
            <w:tcW w:w="707" w:type="pct"/>
            <w:tcBorders>
              <w:left w:val="nil"/>
              <w:bottom w:val="nil"/>
              <w:right w:val="nil"/>
            </w:tcBorders>
            <w:vAlign w:val="center"/>
          </w:tcPr>
          <w:p w14:paraId="6DE705E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0.84±0.07</w:t>
            </w:r>
            <w:r w:rsidRPr="002C7FC2">
              <w:rPr>
                <w:rFonts w:ascii="Gill Sans MT" w:hAnsi="Gill Sans MT"/>
                <w:sz w:val="16"/>
                <w:szCs w:val="16"/>
                <w:vertAlign w:val="superscript"/>
              </w:rPr>
              <w:t>a</w:t>
            </w:r>
          </w:p>
        </w:tc>
        <w:tc>
          <w:tcPr>
            <w:tcW w:w="363" w:type="pct"/>
            <w:tcBorders>
              <w:left w:val="nil"/>
              <w:bottom w:val="nil"/>
              <w:right w:val="nil"/>
            </w:tcBorders>
            <w:vAlign w:val="center"/>
          </w:tcPr>
          <w:p w14:paraId="52DB95B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0.002</w:t>
            </w:r>
          </w:p>
        </w:tc>
      </w:tr>
      <w:tr w:rsidR="00C60047" w:rsidRPr="002C7FC2" w14:paraId="7E11C4E7" w14:textId="77777777" w:rsidTr="00C60047">
        <w:trPr>
          <w:trHeight w:val="20"/>
        </w:trPr>
        <w:tc>
          <w:tcPr>
            <w:tcW w:w="1083" w:type="pct"/>
            <w:tcBorders>
              <w:top w:val="nil"/>
              <w:left w:val="nil"/>
              <w:bottom w:val="nil"/>
              <w:right w:val="nil"/>
            </w:tcBorders>
            <w:vAlign w:val="center"/>
          </w:tcPr>
          <w:p w14:paraId="6C05F92B"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 xml:space="preserve">Sperm </w:t>
            </w:r>
            <w:proofErr w:type="spellStart"/>
            <w:r w:rsidRPr="002C7FC2">
              <w:rPr>
                <w:rFonts w:ascii="Gill Sans MT" w:hAnsi="Gill Sans MT"/>
                <w:sz w:val="16"/>
                <w:szCs w:val="16"/>
              </w:rPr>
              <w:t>concen</w:t>
            </w:r>
            <w:proofErr w:type="spellEnd"/>
            <w:r w:rsidRPr="002C7FC2">
              <w:rPr>
                <w:rFonts w:ascii="Gill Sans MT" w:hAnsi="Gill Sans MT"/>
                <w:sz w:val="16"/>
                <w:szCs w:val="16"/>
              </w:rPr>
              <w:t>. (×10</w:t>
            </w:r>
            <w:r w:rsidRPr="002C7FC2">
              <w:rPr>
                <w:rFonts w:ascii="Gill Sans MT" w:hAnsi="Gill Sans MT"/>
                <w:sz w:val="16"/>
                <w:szCs w:val="16"/>
                <w:vertAlign w:val="superscript"/>
              </w:rPr>
              <w:t>9</w:t>
            </w:r>
            <w:r w:rsidRPr="002C7FC2">
              <w:rPr>
                <w:rFonts w:ascii="Gill Sans MT" w:hAnsi="Gill Sans MT"/>
                <w:sz w:val="16"/>
                <w:szCs w:val="16"/>
              </w:rPr>
              <w:t>)</w:t>
            </w:r>
          </w:p>
        </w:tc>
        <w:tc>
          <w:tcPr>
            <w:tcW w:w="712" w:type="pct"/>
            <w:tcBorders>
              <w:top w:val="nil"/>
              <w:left w:val="nil"/>
              <w:bottom w:val="nil"/>
              <w:right w:val="nil"/>
            </w:tcBorders>
            <w:vAlign w:val="center"/>
          </w:tcPr>
          <w:p w14:paraId="3C34E66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2.32±0.13</w:t>
            </w:r>
            <w:r w:rsidRPr="002C7FC2">
              <w:rPr>
                <w:rFonts w:ascii="Gill Sans MT" w:hAnsi="Gill Sans MT"/>
                <w:sz w:val="16"/>
                <w:szCs w:val="16"/>
                <w:vertAlign w:val="superscript"/>
              </w:rPr>
              <w:t>bc</w:t>
            </w:r>
          </w:p>
        </w:tc>
        <w:tc>
          <w:tcPr>
            <w:tcW w:w="744" w:type="pct"/>
            <w:tcBorders>
              <w:top w:val="nil"/>
              <w:left w:val="nil"/>
              <w:bottom w:val="nil"/>
              <w:right w:val="nil"/>
            </w:tcBorders>
            <w:vAlign w:val="center"/>
          </w:tcPr>
          <w:p w14:paraId="5476BF2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2.30±0.11</w:t>
            </w:r>
            <w:r w:rsidRPr="002C7FC2">
              <w:rPr>
                <w:rFonts w:ascii="Gill Sans MT" w:hAnsi="Gill Sans MT"/>
                <w:sz w:val="16"/>
                <w:szCs w:val="16"/>
                <w:vertAlign w:val="superscript"/>
              </w:rPr>
              <w:t>c</w:t>
            </w:r>
          </w:p>
        </w:tc>
        <w:tc>
          <w:tcPr>
            <w:tcW w:w="685" w:type="pct"/>
            <w:tcBorders>
              <w:top w:val="nil"/>
              <w:left w:val="nil"/>
              <w:bottom w:val="nil"/>
              <w:right w:val="nil"/>
            </w:tcBorders>
            <w:vAlign w:val="center"/>
          </w:tcPr>
          <w:p w14:paraId="6A90F411"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2.73±0.17</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55F01E65"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3.02±1.57</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77CAE9F2"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2.31±1.80</w:t>
            </w:r>
            <w:r w:rsidRPr="002C7FC2">
              <w:rPr>
                <w:rFonts w:ascii="Gill Sans MT" w:hAnsi="Gill Sans MT"/>
                <w:sz w:val="16"/>
                <w:szCs w:val="16"/>
                <w:vertAlign w:val="superscript"/>
              </w:rPr>
              <w:t>bc</w:t>
            </w:r>
          </w:p>
        </w:tc>
        <w:tc>
          <w:tcPr>
            <w:tcW w:w="363" w:type="pct"/>
            <w:tcBorders>
              <w:top w:val="nil"/>
              <w:left w:val="nil"/>
              <w:bottom w:val="nil"/>
              <w:right w:val="nil"/>
            </w:tcBorders>
            <w:vAlign w:val="center"/>
          </w:tcPr>
          <w:p w14:paraId="3E7DE04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0.010</w:t>
            </w:r>
          </w:p>
        </w:tc>
      </w:tr>
      <w:tr w:rsidR="00C60047" w:rsidRPr="002C7FC2" w14:paraId="0DD99E07" w14:textId="77777777" w:rsidTr="00C60047">
        <w:trPr>
          <w:trHeight w:val="20"/>
        </w:trPr>
        <w:tc>
          <w:tcPr>
            <w:tcW w:w="1083" w:type="pct"/>
            <w:tcBorders>
              <w:top w:val="nil"/>
              <w:left w:val="nil"/>
              <w:bottom w:val="nil"/>
              <w:right w:val="nil"/>
            </w:tcBorders>
            <w:vAlign w:val="center"/>
          </w:tcPr>
          <w:p w14:paraId="0ABBCC34"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TM (%)</w:t>
            </w:r>
          </w:p>
        </w:tc>
        <w:tc>
          <w:tcPr>
            <w:tcW w:w="712" w:type="pct"/>
            <w:tcBorders>
              <w:top w:val="nil"/>
              <w:left w:val="nil"/>
              <w:bottom w:val="nil"/>
              <w:right w:val="nil"/>
            </w:tcBorders>
            <w:vAlign w:val="center"/>
          </w:tcPr>
          <w:p w14:paraId="6195AB2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60.93±5.63</w:t>
            </w:r>
            <w:r w:rsidRPr="002C7FC2">
              <w:rPr>
                <w:rFonts w:ascii="Gill Sans MT" w:hAnsi="Gill Sans MT"/>
                <w:sz w:val="16"/>
                <w:szCs w:val="16"/>
                <w:vertAlign w:val="superscript"/>
              </w:rPr>
              <w:t>b</w:t>
            </w:r>
          </w:p>
        </w:tc>
        <w:tc>
          <w:tcPr>
            <w:tcW w:w="744" w:type="pct"/>
            <w:tcBorders>
              <w:top w:val="nil"/>
              <w:left w:val="nil"/>
              <w:bottom w:val="nil"/>
              <w:right w:val="nil"/>
            </w:tcBorders>
            <w:vAlign w:val="center"/>
          </w:tcPr>
          <w:p w14:paraId="45D3BCD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69.87±5.76</w:t>
            </w:r>
            <w:r w:rsidRPr="002C7FC2">
              <w:rPr>
                <w:rFonts w:ascii="Gill Sans MT" w:hAnsi="Gill Sans MT"/>
                <w:sz w:val="16"/>
                <w:szCs w:val="16"/>
                <w:vertAlign w:val="superscript"/>
              </w:rPr>
              <w:t>ab</w:t>
            </w:r>
          </w:p>
        </w:tc>
        <w:tc>
          <w:tcPr>
            <w:tcW w:w="685" w:type="pct"/>
            <w:tcBorders>
              <w:top w:val="nil"/>
              <w:left w:val="nil"/>
              <w:bottom w:val="nil"/>
              <w:right w:val="nil"/>
            </w:tcBorders>
            <w:vAlign w:val="center"/>
          </w:tcPr>
          <w:p w14:paraId="6700CE2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65.06±6.46</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24F2DCDC"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81.86±3.22</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140F9A19"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77.4±5.84</w:t>
            </w:r>
            <w:r w:rsidRPr="002C7FC2">
              <w:rPr>
                <w:rFonts w:ascii="Gill Sans MT" w:hAnsi="Gill Sans MT"/>
                <w:sz w:val="16"/>
                <w:szCs w:val="16"/>
                <w:vertAlign w:val="superscript"/>
              </w:rPr>
              <w:t>ab</w:t>
            </w:r>
          </w:p>
        </w:tc>
        <w:tc>
          <w:tcPr>
            <w:tcW w:w="363" w:type="pct"/>
            <w:tcBorders>
              <w:top w:val="nil"/>
              <w:left w:val="nil"/>
              <w:bottom w:val="nil"/>
              <w:right w:val="nil"/>
            </w:tcBorders>
            <w:vAlign w:val="center"/>
          </w:tcPr>
          <w:p w14:paraId="35977112"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0.018</w:t>
            </w:r>
          </w:p>
        </w:tc>
      </w:tr>
      <w:tr w:rsidR="00C60047" w:rsidRPr="002C7FC2" w14:paraId="7DECFCCC" w14:textId="77777777" w:rsidTr="00C60047">
        <w:trPr>
          <w:trHeight w:val="20"/>
        </w:trPr>
        <w:tc>
          <w:tcPr>
            <w:tcW w:w="1083" w:type="pct"/>
            <w:tcBorders>
              <w:top w:val="nil"/>
              <w:left w:val="nil"/>
              <w:bottom w:val="nil"/>
              <w:right w:val="nil"/>
            </w:tcBorders>
            <w:vAlign w:val="center"/>
          </w:tcPr>
          <w:p w14:paraId="709027E4"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PM (%)</w:t>
            </w:r>
          </w:p>
        </w:tc>
        <w:tc>
          <w:tcPr>
            <w:tcW w:w="712" w:type="pct"/>
            <w:tcBorders>
              <w:top w:val="nil"/>
              <w:left w:val="nil"/>
              <w:bottom w:val="nil"/>
              <w:right w:val="nil"/>
            </w:tcBorders>
            <w:vAlign w:val="center"/>
          </w:tcPr>
          <w:p w14:paraId="65573C41"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34.98±1.79</w:t>
            </w:r>
            <w:r w:rsidRPr="002C7FC2">
              <w:rPr>
                <w:rFonts w:ascii="Gill Sans MT" w:hAnsi="Gill Sans MT"/>
                <w:sz w:val="16"/>
                <w:szCs w:val="16"/>
                <w:vertAlign w:val="superscript"/>
              </w:rPr>
              <w:t>d</w:t>
            </w:r>
          </w:p>
        </w:tc>
        <w:tc>
          <w:tcPr>
            <w:tcW w:w="744" w:type="pct"/>
            <w:tcBorders>
              <w:top w:val="nil"/>
              <w:left w:val="nil"/>
              <w:bottom w:val="nil"/>
              <w:right w:val="nil"/>
            </w:tcBorders>
            <w:vAlign w:val="center"/>
          </w:tcPr>
          <w:p w14:paraId="5EAF6F24"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37.00±1.53</w:t>
            </w:r>
            <w:r w:rsidRPr="002C7FC2">
              <w:rPr>
                <w:rFonts w:ascii="Gill Sans MT" w:hAnsi="Gill Sans MT"/>
                <w:sz w:val="16"/>
                <w:szCs w:val="16"/>
                <w:vertAlign w:val="superscript"/>
              </w:rPr>
              <w:t>cd</w:t>
            </w:r>
          </w:p>
        </w:tc>
        <w:tc>
          <w:tcPr>
            <w:tcW w:w="685" w:type="pct"/>
            <w:tcBorders>
              <w:top w:val="nil"/>
              <w:left w:val="nil"/>
              <w:bottom w:val="nil"/>
              <w:right w:val="nil"/>
            </w:tcBorders>
            <w:vAlign w:val="center"/>
          </w:tcPr>
          <w:p w14:paraId="0B4796A4"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42.86±2.99</w:t>
            </w:r>
            <w:r w:rsidRPr="002C7FC2">
              <w:rPr>
                <w:rFonts w:ascii="Gill Sans MT" w:hAnsi="Gill Sans MT"/>
                <w:sz w:val="16"/>
                <w:szCs w:val="16"/>
                <w:vertAlign w:val="superscript"/>
              </w:rPr>
              <w:t>bc</w:t>
            </w:r>
          </w:p>
        </w:tc>
        <w:tc>
          <w:tcPr>
            <w:tcW w:w="707" w:type="pct"/>
            <w:tcBorders>
              <w:top w:val="nil"/>
              <w:left w:val="nil"/>
              <w:bottom w:val="nil"/>
              <w:right w:val="nil"/>
            </w:tcBorders>
            <w:vAlign w:val="center"/>
          </w:tcPr>
          <w:p w14:paraId="546ACDE5"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52.37±4.20</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2069AC8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46.22±1.82</w:t>
            </w:r>
            <w:r w:rsidRPr="002C7FC2">
              <w:rPr>
                <w:rFonts w:ascii="Gill Sans MT" w:hAnsi="Gill Sans MT"/>
                <w:sz w:val="16"/>
                <w:szCs w:val="16"/>
                <w:vertAlign w:val="superscript"/>
              </w:rPr>
              <w:t>b</w:t>
            </w:r>
          </w:p>
        </w:tc>
        <w:tc>
          <w:tcPr>
            <w:tcW w:w="363" w:type="pct"/>
            <w:tcBorders>
              <w:top w:val="nil"/>
              <w:left w:val="nil"/>
              <w:bottom w:val="nil"/>
              <w:right w:val="nil"/>
            </w:tcBorders>
            <w:vAlign w:val="center"/>
          </w:tcPr>
          <w:p w14:paraId="110B69F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&lt;0.001</w:t>
            </w:r>
          </w:p>
        </w:tc>
      </w:tr>
      <w:tr w:rsidR="00C60047" w:rsidRPr="002C7FC2" w14:paraId="5776842B" w14:textId="77777777" w:rsidTr="00C60047">
        <w:trPr>
          <w:trHeight w:val="20"/>
        </w:trPr>
        <w:tc>
          <w:tcPr>
            <w:tcW w:w="1083" w:type="pct"/>
            <w:tcBorders>
              <w:top w:val="nil"/>
              <w:left w:val="nil"/>
              <w:bottom w:val="nil"/>
              <w:right w:val="nil"/>
            </w:tcBorders>
            <w:vAlign w:val="center"/>
          </w:tcPr>
          <w:p w14:paraId="07AB16AC"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VCL (</w:t>
            </w:r>
            <w:proofErr w:type="spellStart"/>
            <w:r w:rsidRPr="002C7FC2">
              <w:rPr>
                <w:rFonts w:cs="Calibri"/>
                <w:sz w:val="16"/>
                <w:szCs w:val="16"/>
              </w:rPr>
              <w:t>μ</w:t>
            </w:r>
            <w:r w:rsidRPr="002C7FC2">
              <w:rPr>
                <w:rFonts w:ascii="Gill Sans MT" w:hAnsi="Gill Sans MT"/>
                <w:sz w:val="16"/>
                <w:szCs w:val="16"/>
              </w:rPr>
              <w:t>m</w:t>
            </w:r>
            <w:proofErr w:type="spellEnd"/>
            <w:r w:rsidRPr="002C7FC2">
              <w:rPr>
                <w:rFonts w:ascii="Gill Sans MT" w:hAnsi="Gill Sans MT"/>
                <w:sz w:val="16"/>
                <w:szCs w:val="16"/>
              </w:rPr>
              <w:t>/s)</w:t>
            </w:r>
          </w:p>
        </w:tc>
        <w:tc>
          <w:tcPr>
            <w:tcW w:w="712" w:type="pct"/>
            <w:tcBorders>
              <w:top w:val="nil"/>
              <w:left w:val="nil"/>
              <w:bottom w:val="nil"/>
              <w:right w:val="nil"/>
            </w:tcBorders>
            <w:vAlign w:val="center"/>
          </w:tcPr>
          <w:p w14:paraId="4991820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204.13±13.49</w:t>
            </w:r>
            <w:r w:rsidRPr="002C7FC2">
              <w:rPr>
                <w:rFonts w:ascii="Gill Sans MT" w:hAnsi="Gill Sans MT"/>
                <w:sz w:val="16"/>
                <w:szCs w:val="16"/>
                <w:vertAlign w:val="superscript"/>
              </w:rPr>
              <w:t>b</w:t>
            </w:r>
          </w:p>
        </w:tc>
        <w:tc>
          <w:tcPr>
            <w:tcW w:w="744" w:type="pct"/>
            <w:tcBorders>
              <w:top w:val="nil"/>
              <w:left w:val="nil"/>
              <w:bottom w:val="nil"/>
              <w:right w:val="nil"/>
            </w:tcBorders>
            <w:vAlign w:val="center"/>
          </w:tcPr>
          <w:p w14:paraId="6E3518B5"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242.06±14.75</w:t>
            </w:r>
            <w:r w:rsidRPr="002C7FC2">
              <w:rPr>
                <w:rFonts w:ascii="Gill Sans MT" w:hAnsi="Gill Sans MT"/>
                <w:sz w:val="16"/>
                <w:szCs w:val="16"/>
                <w:vertAlign w:val="superscript"/>
              </w:rPr>
              <w:t>ab</w:t>
            </w:r>
          </w:p>
        </w:tc>
        <w:tc>
          <w:tcPr>
            <w:tcW w:w="685" w:type="pct"/>
            <w:tcBorders>
              <w:top w:val="nil"/>
              <w:left w:val="nil"/>
              <w:bottom w:val="nil"/>
              <w:right w:val="nil"/>
            </w:tcBorders>
            <w:vAlign w:val="center"/>
          </w:tcPr>
          <w:p w14:paraId="0601C86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253.5±12.46</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0D70BEA7"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249.45±17.10</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394ED3D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265.77±12.55</w:t>
            </w:r>
            <w:r w:rsidRPr="002C7FC2">
              <w:rPr>
                <w:rFonts w:ascii="Gill Sans MT" w:hAnsi="Gill Sans MT"/>
                <w:sz w:val="16"/>
                <w:szCs w:val="16"/>
                <w:vertAlign w:val="superscript"/>
              </w:rPr>
              <w:t>a</w:t>
            </w:r>
          </w:p>
        </w:tc>
        <w:tc>
          <w:tcPr>
            <w:tcW w:w="363" w:type="pct"/>
            <w:tcBorders>
              <w:top w:val="nil"/>
              <w:left w:val="nil"/>
              <w:bottom w:val="nil"/>
              <w:right w:val="nil"/>
            </w:tcBorders>
            <w:vAlign w:val="center"/>
          </w:tcPr>
          <w:p w14:paraId="20221B1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0.003</w:t>
            </w:r>
          </w:p>
        </w:tc>
      </w:tr>
      <w:tr w:rsidR="00C60047" w:rsidRPr="002C7FC2" w14:paraId="07EB7F1C" w14:textId="77777777" w:rsidTr="00C60047">
        <w:trPr>
          <w:trHeight w:val="20"/>
        </w:trPr>
        <w:tc>
          <w:tcPr>
            <w:tcW w:w="1083" w:type="pct"/>
            <w:tcBorders>
              <w:top w:val="nil"/>
              <w:left w:val="nil"/>
              <w:bottom w:val="nil"/>
              <w:right w:val="nil"/>
            </w:tcBorders>
            <w:vAlign w:val="center"/>
          </w:tcPr>
          <w:p w14:paraId="78B949A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VSL (</w:t>
            </w:r>
            <w:proofErr w:type="spellStart"/>
            <w:r w:rsidRPr="002C7FC2">
              <w:rPr>
                <w:rFonts w:cs="Calibri"/>
                <w:sz w:val="16"/>
                <w:szCs w:val="16"/>
              </w:rPr>
              <w:t>μ</w:t>
            </w:r>
            <w:r w:rsidRPr="002C7FC2">
              <w:rPr>
                <w:rFonts w:ascii="Gill Sans MT" w:hAnsi="Gill Sans MT"/>
                <w:sz w:val="16"/>
                <w:szCs w:val="16"/>
              </w:rPr>
              <w:t>m</w:t>
            </w:r>
            <w:proofErr w:type="spellEnd"/>
            <w:r w:rsidRPr="002C7FC2">
              <w:rPr>
                <w:rFonts w:ascii="Gill Sans MT" w:hAnsi="Gill Sans MT"/>
                <w:sz w:val="16"/>
                <w:szCs w:val="16"/>
              </w:rPr>
              <w:t>/s)</w:t>
            </w:r>
          </w:p>
        </w:tc>
        <w:tc>
          <w:tcPr>
            <w:tcW w:w="712" w:type="pct"/>
            <w:tcBorders>
              <w:top w:val="nil"/>
              <w:left w:val="nil"/>
              <w:bottom w:val="nil"/>
              <w:right w:val="nil"/>
            </w:tcBorders>
            <w:vAlign w:val="center"/>
          </w:tcPr>
          <w:p w14:paraId="774B51F3"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49.46±4.83</w:t>
            </w:r>
            <w:r w:rsidRPr="002C7FC2">
              <w:rPr>
                <w:rFonts w:ascii="Gill Sans MT" w:hAnsi="Gill Sans MT"/>
                <w:sz w:val="16"/>
                <w:szCs w:val="16"/>
                <w:vertAlign w:val="superscript"/>
              </w:rPr>
              <w:t>b</w:t>
            </w:r>
          </w:p>
        </w:tc>
        <w:tc>
          <w:tcPr>
            <w:tcW w:w="744" w:type="pct"/>
            <w:tcBorders>
              <w:top w:val="nil"/>
              <w:left w:val="nil"/>
              <w:bottom w:val="nil"/>
              <w:right w:val="nil"/>
            </w:tcBorders>
            <w:vAlign w:val="center"/>
          </w:tcPr>
          <w:p w14:paraId="1F93BFC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67.57±5.72</w:t>
            </w:r>
            <w:r w:rsidRPr="002C7FC2">
              <w:rPr>
                <w:rFonts w:ascii="Gill Sans MT" w:hAnsi="Gill Sans MT"/>
                <w:sz w:val="16"/>
                <w:szCs w:val="16"/>
                <w:vertAlign w:val="superscript"/>
              </w:rPr>
              <w:t>ab</w:t>
            </w:r>
          </w:p>
        </w:tc>
        <w:tc>
          <w:tcPr>
            <w:tcW w:w="685" w:type="pct"/>
            <w:tcBorders>
              <w:top w:val="nil"/>
              <w:left w:val="nil"/>
              <w:bottom w:val="nil"/>
              <w:right w:val="nil"/>
            </w:tcBorders>
            <w:vAlign w:val="center"/>
          </w:tcPr>
          <w:p w14:paraId="0232044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64.1±5.79</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53DBB5D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67.9±9.68</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2EDCF2D3"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63.63±6.59</w:t>
            </w:r>
            <w:r w:rsidRPr="002C7FC2">
              <w:rPr>
                <w:rFonts w:ascii="Gill Sans MT" w:hAnsi="Gill Sans MT"/>
                <w:sz w:val="16"/>
                <w:szCs w:val="16"/>
                <w:vertAlign w:val="superscript"/>
              </w:rPr>
              <w:t>ab</w:t>
            </w:r>
          </w:p>
        </w:tc>
        <w:tc>
          <w:tcPr>
            <w:tcW w:w="363" w:type="pct"/>
            <w:tcBorders>
              <w:top w:val="nil"/>
              <w:left w:val="nil"/>
              <w:bottom w:val="nil"/>
              <w:right w:val="nil"/>
            </w:tcBorders>
            <w:vAlign w:val="center"/>
          </w:tcPr>
          <w:p w14:paraId="6D5C45B7"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0.015</w:t>
            </w:r>
          </w:p>
        </w:tc>
      </w:tr>
      <w:tr w:rsidR="00C60047" w:rsidRPr="002C7FC2" w14:paraId="73D8654C" w14:textId="77777777" w:rsidTr="00C60047">
        <w:trPr>
          <w:trHeight w:val="20"/>
        </w:trPr>
        <w:tc>
          <w:tcPr>
            <w:tcW w:w="1083" w:type="pct"/>
            <w:tcBorders>
              <w:top w:val="nil"/>
              <w:left w:val="nil"/>
              <w:bottom w:val="nil"/>
              <w:right w:val="nil"/>
            </w:tcBorders>
            <w:vAlign w:val="center"/>
          </w:tcPr>
          <w:p w14:paraId="707811F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lang w:bidi="ar"/>
              </w:rPr>
              <w:t>VAP (</w:t>
            </w:r>
            <w:proofErr w:type="spellStart"/>
            <w:r w:rsidRPr="002C7FC2">
              <w:rPr>
                <w:rFonts w:cs="Calibri"/>
                <w:sz w:val="16"/>
                <w:szCs w:val="16"/>
              </w:rPr>
              <w:t>μ</w:t>
            </w:r>
            <w:r w:rsidRPr="002C7FC2">
              <w:rPr>
                <w:rFonts w:ascii="Gill Sans MT" w:hAnsi="Gill Sans MT"/>
                <w:sz w:val="16"/>
                <w:szCs w:val="16"/>
                <w:lang w:bidi="ar"/>
              </w:rPr>
              <w:t>m</w:t>
            </w:r>
            <w:proofErr w:type="spellEnd"/>
            <w:r w:rsidRPr="002C7FC2">
              <w:rPr>
                <w:rFonts w:ascii="Gill Sans MT" w:hAnsi="Gill Sans MT"/>
                <w:sz w:val="16"/>
                <w:szCs w:val="16"/>
                <w:lang w:bidi="ar"/>
              </w:rPr>
              <w:t>/s)</w:t>
            </w:r>
          </w:p>
        </w:tc>
        <w:tc>
          <w:tcPr>
            <w:tcW w:w="712" w:type="pct"/>
            <w:tcBorders>
              <w:top w:val="nil"/>
              <w:left w:val="nil"/>
              <w:bottom w:val="nil"/>
              <w:right w:val="nil"/>
            </w:tcBorders>
            <w:vAlign w:val="center"/>
          </w:tcPr>
          <w:p w14:paraId="495509F1"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86.81±6.64</w:t>
            </w:r>
            <w:r w:rsidRPr="002C7FC2">
              <w:rPr>
                <w:rFonts w:ascii="Gill Sans MT" w:hAnsi="Gill Sans MT"/>
                <w:sz w:val="16"/>
                <w:szCs w:val="16"/>
                <w:vertAlign w:val="superscript"/>
              </w:rPr>
              <w:t>b</w:t>
            </w:r>
          </w:p>
        </w:tc>
        <w:tc>
          <w:tcPr>
            <w:tcW w:w="744" w:type="pct"/>
            <w:tcBorders>
              <w:top w:val="nil"/>
              <w:left w:val="nil"/>
              <w:bottom w:val="nil"/>
              <w:right w:val="nil"/>
            </w:tcBorders>
            <w:vAlign w:val="center"/>
          </w:tcPr>
          <w:p w14:paraId="5E6B2FC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112.79±8.03</w:t>
            </w:r>
            <w:r w:rsidRPr="002C7FC2">
              <w:rPr>
                <w:rFonts w:ascii="Gill Sans MT" w:hAnsi="Gill Sans MT"/>
                <w:sz w:val="16"/>
                <w:szCs w:val="16"/>
                <w:vertAlign w:val="superscript"/>
              </w:rPr>
              <w:t>a</w:t>
            </w:r>
          </w:p>
        </w:tc>
        <w:tc>
          <w:tcPr>
            <w:tcW w:w="685" w:type="pct"/>
            <w:tcBorders>
              <w:top w:val="nil"/>
              <w:left w:val="nil"/>
              <w:bottom w:val="nil"/>
              <w:right w:val="nil"/>
            </w:tcBorders>
            <w:vAlign w:val="center"/>
          </w:tcPr>
          <w:p w14:paraId="5115AFB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112.38±7.68</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48034DC2"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114.5±13.56</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41CAE77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115.79±9.09</w:t>
            </w:r>
            <w:r w:rsidRPr="002C7FC2">
              <w:rPr>
                <w:rFonts w:ascii="Gill Sans MT" w:hAnsi="Gill Sans MT"/>
                <w:sz w:val="16"/>
                <w:szCs w:val="16"/>
                <w:vertAlign w:val="superscript"/>
              </w:rPr>
              <w:t>a</w:t>
            </w:r>
          </w:p>
        </w:tc>
        <w:tc>
          <w:tcPr>
            <w:tcW w:w="363" w:type="pct"/>
            <w:tcBorders>
              <w:top w:val="nil"/>
              <w:left w:val="nil"/>
              <w:bottom w:val="nil"/>
              <w:right w:val="nil"/>
            </w:tcBorders>
            <w:vAlign w:val="center"/>
          </w:tcPr>
          <w:p w14:paraId="201F8259"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0.045</w:t>
            </w:r>
          </w:p>
        </w:tc>
      </w:tr>
      <w:tr w:rsidR="00C60047" w:rsidRPr="002C7FC2" w14:paraId="6EF75BAE" w14:textId="77777777" w:rsidTr="00C60047">
        <w:trPr>
          <w:trHeight w:val="20"/>
        </w:trPr>
        <w:tc>
          <w:tcPr>
            <w:tcW w:w="1083" w:type="pct"/>
            <w:tcBorders>
              <w:top w:val="nil"/>
              <w:left w:val="nil"/>
              <w:bottom w:val="nil"/>
              <w:right w:val="nil"/>
            </w:tcBorders>
            <w:vAlign w:val="center"/>
          </w:tcPr>
          <w:p w14:paraId="4FB3141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lang w:bidi="ar"/>
              </w:rPr>
              <w:t>WOB (%)</w:t>
            </w:r>
          </w:p>
        </w:tc>
        <w:tc>
          <w:tcPr>
            <w:tcW w:w="712" w:type="pct"/>
            <w:tcBorders>
              <w:top w:val="nil"/>
              <w:left w:val="nil"/>
              <w:bottom w:val="nil"/>
              <w:right w:val="nil"/>
            </w:tcBorders>
            <w:vAlign w:val="center"/>
          </w:tcPr>
          <w:p w14:paraId="2415829B"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42.47±1.22</w:t>
            </w:r>
            <w:r w:rsidRPr="002C7FC2">
              <w:rPr>
                <w:rFonts w:ascii="Gill Sans MT" w:hAnsi="Gill Sans MT"/>
                <w:sz w:val="16"/>
                <w:szCs w:val="16"/>
                <w:vertAlign w:val="superscript"/>
              </w:rPr>
              <w:t>b</w:t>
            </w:r>
          </w:p>
        </w:tc>
        <w:tc>
          <w:tcPr>
            <w:tcW w:w="744" w:type="pct"/>
            <w:tcBorders>
              <w:top w:val="nil"/>
              <w:left w:val="nil"/>
              <w:bottom w:val="nil"/>
              <w:right w:val="nil"/>
            </w:tcBorders>
            <w:vAlign w:val="center"/>
          </w:tcPr>
          <w:p w14:paraId="6840312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46.41±1.24</w:t>
            </w:r>
            <w:r w:rsidRPr="002C7FC2">
              <w:rPr>
                <w:rFonts w:ascii="Gill Sans MT" w:hAnsi="Gill Sans MT"/>
                <w:sz w:val="16"/>
                <w:szCs w:val="16"/>
                <w:vertAlign w:val="superscript"/>
              </w:rPr>
              <w:t>ab</w:t>
            </w:r>
          </w:p>
        </w:tc>
        <w:tc>
          <w:tcPr>
            <w:tcW w:w="685" w:type="pct"/>
            <w:tcBorders>
              <w:top w:val="nil"/>
              <w:left w:val="nil"/>
              <w:bottom w:val="nil"/>
              <w:right w:val="nil"/>
            </w:tcBorders>
            <w:vAlign w:val="center"/>
          </w:tcPr>
          <w:p w14:paraId="01AA6B8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43.97±1.23</w:t>
            </w:r>
            <w:r w:rsidRPr="002C7FC2">
              <w:rPr>
                <w:rFonts w:ascii="Gill Sans MT" w:hAnsi="Gill Sans MT"/>
                <w:sz w:val="16"/>
                <w:szCs w:val="16"/>
                <w:vertAlign w:val="superscript"/>
              </w:rPr>
              <w:t>b</w:t>
            </w:r>
          </w:p>
        </w:tc>
        <w:tc>
          <w:tcPr>
            <w:tcW w:w="707" w:type="pct"/>
            <w:tcBorders>
              <w:top w:val="nil"/>
              <w:left w:val="nil"/>
              <w:bottom w:val="nil"/>
              <w:right w:val="nil"/>
            </w:tcBorders>
            <w:vAlign w:val="center"/>
          </w:tcPr>
          <w:p w14:paraId="01EBE307"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49.79±1.17</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517133E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43.23±1.77</w:t>
            </w:r>
            <w:r w:rsidRPr="002C7FC2">
              <w:rPr>
                <w:rFonts w:ascii="Gill Sans MT" w:hAnsi="Gill Sans MT"/>
                <w:sz w:val="16"/>
                <w:szCs w:val="16"/>
                <w:vertAlign w:val="superscript"/>
              </w:rPr>
              <w:t>b</w:t>
            </w:r>
          </w:p>
        </w:tc>
        <w:tc>
          <w:tcPr>
            <w:tcW w:w="363" w:type="pct"/>
            <w:tcBorders>
              <w:top w:val="nil"/>
              <w:left w:val="nil"/>
              <w:bottom w:val="nil"/>
              <w:right w:val="nil"/>
            </w:tcBorders>
            <w:vAlign w:val="center"/>
          </w:tcPr>
          <w:p w14:paraId="7EDFE8E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0.006</w:t>
            </w:r>
          </w:p>
        </w:tc>
      </w:tr>
      <w:tr w:rsidR="00C60047" w:rsidRPr="002C7FC2" w14:paraId="17B6AEBE" w14:textId="77777777" w:rsidTr="00C60047">
        <w:trPr>
          <w:trHeight w:val="20"/>
        </w:trPr>
        <w:tc>
          <w:tcPr>
            <w:tcW w:w="1083" w:type="pct"/>
            <w:tcBorders>
              <w:top w:val="nil"/>
              <w:left w:val="nil"/>
              <w:bottom w:val="nil"/>
              <w:right w:val="nil"/>
            </w:tcBorders>
            <w:vAlign w:val="center"/>
          </w:tcPr>
          <w:p w14:paraId="22851A0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lang w:bidi="ar"/>
              </w:rPr>
              <w:t>BCF (Hz)</w:t>
            </w:r>
          </w:p>
        </w:tc>
        <w:tc>
          <w:tcPr>
            <w:tcW w:w="712" w:type="pct"/>
            <w:tcBorders>
              <w:top w:val="nil"/>
              <w:left w:val="nil"/>
              <w:bottom w:val="nil"/>
              <w:right w:val="nil"/>
            </w:tcBorders>
            <w:vAlign w:val="center"/>
          </w:tcPr>
          <w:p w14:paraId="67441CB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31.58±1.11</w:t>
            </w:r>
            <w:r w:rsidRPr="002C7FC2">
              <w:rPr>
                <w:rFonts w:ascii="Gill Sans MT" w:hAnsi="Gill Sans MT"/>
                <w:sz w:val="16"/>
                <w:szCs w:val="16"/>
                <w:vertAlign w:val="superscript"/>
              </w:rPr>
              <w:t>ab</w:t>
            </w:r>
          </w:p>
        </w:tc>
        <w:tc>
          <w:tcPr>
            <w:tcW w:w="744" w:type="pct"/>
            <w:tcBorders>
              <w:top w:val="nil"/>
              <w:left w:val="nil"/>
              <w:bottom w:val="nil"/>
              <w:right w:val="nil"/>
            </w:tcBorders>
            <w:vAlign w:val="center"/>
          </w:tcPr>
          <w:p w14:paraId="3B0F603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29.83±1.17</w:t>
            </w:r>
            <w:r w:rsidRPr="002C7FC2">
              <w:rPr>
                <w:rFonts w:ascii="Gill Sans MT" w:hAnsi="Gill Sans MT"/>
                <w:sz w:val="16"/>
                <w:szCs w:val="16"/>
                <w:vertAlign w:val="superscript"/>
              </w:rPr>
              <w:t>b</w:t>
            </w:r>
          </w:p>
        </w:tc>
        <w:tc>
          <w:tcPr>
            <w:tcW w:w="685" w:type="pct"/>
            <w:tcBorders>
              <w:top w:val="nil"/>
              <w:left w:val="nil"/>
              <w:bottom w:val="nil"/>
              <w:right w:val="nil"/>
            </w:tcBorders>
            <w:vAlign w:val="center"/>
          </w:tcPr>
          <w:p w14:paraId="57EB0AD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32.05±1.27</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6F0C241C"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33.56±1.81</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3FD23AFC"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34.92±1.82</w:t>
            </w:r>
            <w:r w:rsidRPr="002C7FC2">
              <w:rPr>
                <w:rFonts w:ascii="Gill Sans MT" w:hAnsi="Gill Sans MT"/>
                <w:sz w:val="16"/>
                <w:szCs w:val="16"/>
                <w:vertAlign w:val="superscript"/>
              </w:rPr>
              <w:t>a</w:t>
            </w:r>
          </w:p>
        </w:tc>
        <w:tc>
          <w:tcPr>
            <w:tcW w:w="363" w:type="pct"/>
            <w:tcBorders>
              <w:top w:val="nil"/>
              <w:left w:val="nil"/>
              <w:bottom w:val="nil"/>
              <w:right w:val="nil"/>
            </w:tcBorders>
            <w:vAlign w:val="center"/>
          </w:tcPr>
          <w:p w14:paraId="7F2DB647"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0.013</w:t>
            </w:r>
          </w:p>
        </w:tc>
      </w:tr>
      <w:tr w:rsidR="00C60047" w:rsidRPr="002C7FC2" w14:paraId="7F2DA136" w14:textId="77777777" w:rsidTr="00C60047">
        <w:trPr>
          <w:trHeight w:val="20"/>
        </w:trPr>
        <w:tc>
          <w:tcPr>
            <w:tcW w:w="1083" w:type="pct"/>
            <w:tcBorders>
              <w:top w:val="nil"/>
              <w:left w:val="nil"/>
              <w:bottom w:val="nil"/>
              <w:right w:val="nil"/>
            </w:tcBorders>
            <w:vAlign w:val="center"/>
          </w:tcPr>
          <w:p w14:paraId="565A66B2"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lang w:bidi="ar"/>
              </w:rPr>
              <w:t>ALH (</w:t>
            </w:r>
            <w:proofErr w:type="spellStart"/>
            <w:r w:rsidRPr="002C7FC2">
              <w:rPr>
                <w:rFonts w:cs="Calibri"/>
                <w:sz w:val="16"/>
                <w:szCs w:val="16"/>
              </w:rPr>
              <w:t>μ</w:t>
            </w:r>
            <w:r w:rsidRPr="002C7FC2">
              <w:rPr>
                <w:rFonts w:ascii="Gill Sans MT" w:hAnsi="Gill Sans MT"/>
                <w:sz w:val="16"/>
                <w:szCs w:val="16"/>
                <w:lang w:bidi="ar"/>
              </w:rPr>
              <w:t>m</w:t>
            </w:r>
            <w:proofErr w:type="spellEnd"/>
            <w:r w:rsidRPr="002C7FC2">
              <w:rPr>
                <w:rFonts w:ascii="Gill Sans MT" w:hAnsi="Gill Sans MT"/>
                <w:sz w:val="16"/>
                <w:szCs w:val="16"/>
                <w:lang w:bidi="ar"/>
              </w:rPr>
              <w:t>)</w:t>
            </w:r>
          </w:p>
        </w:tc>
        <w:tc>
          <w:tcPr>
            <w:tcW w:w="712" w:type="pct"/>
            <w:tcBorders>
              <w:top w:val="nil"/>
              <w:left w:val="nil"/>
              <w:bottom w:val="nil"/>
              <w:right w:val="nil"/>
            </w:tcBorders>
            <w:vAlign w:val="center"/>
          </w:tcPr>
          <w:p w14:paraId="652292ED"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11.73±0.65</w:t>
            </w:r>
            <w:r w:rsidRPr="002C7FC2">
              <w:rPr>
                <w:rFonts w:ascii="Gill Sans MT" w:hAnsi="Gill Sans MT"/>
                <w:sz w:val="16"/>
                <w:szCs w:val="16"/>
                <w:vertAlign w:val="superscript"/>
              </w:rPr>
              <w:t>b</w:t>
            </w:r>
          </w:p>
        </w:tc>
        <w:tc>
          <w:tcPr>
            <w:tcW w:w="744" w:type="pct"/>
            <w:tcBorders>
              <w:top w:val="nil"/>
              <w:left w:val="nil"/>
              <w:bottom w:val="nil"/>
              <w:right w:val="nil"/>
            </w:tcBorders>
            <w:vAlign w:val="center"/>
          </w:tcPr>
          <w:p w14:paraId="7A6B8D3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14.76±0.84</w:t>
            </w:r>
            <w:r w:rsidRPr="002C7FC2">
              <w:rPr>
                <w:rFonts w:ascii="Gill Sans MT" w:hAnsi="Gill Sans MT"/>
                <w:sz w:val="16"/>
                <w:szCs w:val="16"/>
                <w:vertAlign w:val="superscript"/>
              </w:rPr>
              <w:t>a</w:t>
            </w:r>
          </w:p>
        </w:tc>
        <w:tc>
          <w:tcPr>
            <w:tcW w:w="685" w:type="pct"/>
            <w:tcBorders>
              <w:top w:val="nil"/>
              <w:left w:val="nil"/>
              <w:bottom w:val="nil"/>
              <w:right w:val="nil"/>
            </w:tcBorders>
            <w:vAlign w:val="center"/>
          </w:tcPr>
          <w:p w14:paraId="0B16B375"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14.84±0.66</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00EF55D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14.78±0.68</w:t>
            </w:r>
            <w:r w:rsidRPr="002C7FC2">
              <w:rPr>
                <w:rFonts w:ascii="Gill Sans MT" w:hAnsi="Gill Sans MT"/>
                <w:sz w:val="16"/>
                <w:szCs w:val="16"/>
                <w:vertAlign w:val="superscript"/>
              </w:rPr>
              <w:t>a</w:t>
            </w:r>
          </w:p>
        </w:tc>
        <w:tc>
          <w:tcPr>
            <w:tcW w:w="707" w:type="pct"/>
            <w:tcBorders>
              <w:top w:val="nil"/>
              <w:left w:val="nil"/>
              <w:bottom w:val="nil"/>
              <w:right w:val="nil"/>
            </w:tcBorders>
            <w:vAlign w:val="center"/>
          </w:tcPr>
          <w:p w14:paraId="78BDC843"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15.47±0.77</w:t>
            </w:r>
            <w:r w:rsidRPr="002C7FC2">
              <w:rPr>
                <w:rFonts w:ascii="Gill Sans MT" w:hAnsi="Gill Sans MT"/>
                <w:sz w:val="16"/>
                <w:szCs w:val="16"/>
                <w:vertAlign w:val="superscript"/>
              </w:rPr>
              <w:t>a</w:t>
            </w:r>
          </w:p>
        </w:tc>
        <w:tc>
          <w:tcPr>
            <w:tcW w:w="363" w:type="pct"/>
            <w:tcBorders>
              <w:top w:val="nil"/>
              <w:left w:val="nil"/>
              <w:bottom w:val="nil"/>
              <w:right w:val="nil"/>
            </w:tcBorders>
            <w:vAlign w:val="center"/>
          </w:tcPr>
          <w:p w14:paraId="23B8AF6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0.005</w:t>
            </w:r>
          </w:p>
        </w:tc>
      </w:tr>
      <w:tr w:rsidR="00C60047" w:rsidRPr="002C7FC2" w14:paraId="24E5016D" w14:textId="77777777" w:rsidTr="00C60047">
        <w:trPr>
          <w:trHeight w:val="20"/>
        </w:trPr>
        <w:tc>
          <w:tcPr>
            <w:tcW w:w="1083" w:type="pct"/>
            <w:tcBorders>
              <w:top w:val="nil"/>
              <w:left w:val="nil"/>
              <w:bottom w:val="nil"/>
              <w:right w:val="nil"/>
            </w:tcBorders>
            <w:vAlign w:val="center"/>
          </w:tcPr>
          <w:p w14:paraId="148E878F"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lang w:bidi="ar"/>
              </w:rPr>
              <w:t>STR (%)</w:t>
            </w:r>
          </w:p>
        </w:tc>
        <w:tc>
          <w:tcPr>
            <w:tcW w:w="712" w:type="pct"/>
            <w:tcBorders>
              <w:top w:val="nil"/>
              <w:left w:val="nil"/>
              <w:bottom w:val="nil"/>
              <w:right w:val="nil"/>
            </w:tcBorders>
            <w:vAlign w:val="center"/>
          </w:tcPr>
          <w:p w14:paraId="3AF34501"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50.31±1.33</w:t>
            </w:r>
            <w:r w:rsidRPr="002C7FC2">
              <w:rPr>
                <w:rFonts w:ascii="Gill Sans MT" w:hAnsi="Gill Sans MT"/>
                <w:sz w:val="16"/>
                <w:szCs w:val="16"/>
                <w:vertAlign w:val="superscript"/>
              </w:rPr>
              <w:t>ab</w:t>
            </w:r>
          </w:p>
        </w:tc>
        <w:tc>
          <w:tcPr>
            <w:tcW w:w="744" w:type="pct"/>
            <w:tcBorders>
              <w:top w:val="nil"/>
              <w:left w:val="nil"/>
              <w:bottom w:val="nil"/>
              <w:right w:val="nil"/>
            </w:tcBorders>
            <w:vAlign w:val="center"/>
          </w:tcPr>
          <w:p w14:paraId="21AAF8DA"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52.25±1.50</w:t>
            </w:r>
            <w:r w:rsidRPr="002C7FC2">
              <w:rPr>
                <w:rFonts w:ascii="Gill Sans MT" w:hAnsi="Gill Sans MT"/>
                <w:sz w:val="16"/>
                <w:szCs w:val="16"/>
                <w:vertAlign w:val="superscript"/>
              </w:rPr>
              <w:t>a</w:t>
            </w:r>
          </w:p>
        </w:tc>
        <w:tc>
          <w:tcPr>
            <w:tcW w:w="685" w:type="pct"/>
            <w:tcBorders>
              <w:top w:val="nil"/>
              <w:left w:val="nil"/>
              <w:bottom w:val="nil"/>
              <w:right w:val="nil"/>
            </w:tcBorders>
            <w:vAlign w:val="center"/>
          </w:tcPr>
          <w:p w14:paraId="3719939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49.42±1.70</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6B40043C"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51.12±2.30</w:t>
            </w:r>
            <w:r w:rsidRPr="002C7FC2">
              <w:rPr>
                <w:rFonts w:ascii="Gill Sans MT" w:hAnsi="Gill Sans MT"/>
                <w:sz w:val="16"/>
                <w:szCs w:val="16"/>
                <w:vertAlign w:val="superscript"/>
              </w:rPr>
              <w:t>ab</w:t>
            </w:r>
          </w:p>
        </w:tc>
        <w:tc>
          <w:tcPr>
            <w:tcW w:w="707" w:type="pct"/>
            <w:tcBorders>
              <w:top w:val="nil"/>
              <w:left w:val="nil"/>
              <w:bottom w:val="nil"/>
              <w:right w:val="nil"/>
            </w:tcBorders>
            <w:vAlign w:val="center"/>
          </w:tcPr>
          <w:p w14:paraId="11EF5FB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46.67±1.60</w:t>
            </w:r>
            <w:r w:rsidRPr="002C7FC2">
              <w:rPr>
                <w:rFonts w:ascii="Gill Sans MT" w:hAnsi="Gill Sans MT"/>
                <w:sz w:val="16"/>
                <w:szCs w:val="16"/>
                <w:vertAlign w:val="superscript"/>
              </w:rPr>
              <w:t>b</w:t>
            </w:r>
          </w:p>
        </w:tc>
        <w:tc>
          <w:tcPr>
            <w:tcW w:w="363" w:type="pct"/>
            <w:tcBorders>
              <w:top w:val="nil"/>
              <w:left w:val="nil"/>
              <w:bottom w:val="nil"/>
              <w:right w:val="nil"/>
            </w:tcBorders>
            <w:vAlign w:val="center"/>
          </w:tcPr>
          <w:p w14:paraId="2737DB4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0.023</w:t>
            </w:r>
          </w:p>
        </w:tc>
      </w:tr>
      <w:tr w:rsidR="00C60047" w:rsidRPr="002C7FC2" w14:paraId="2FC4FEDB" w14:textId="77777777" w:rsidTr="00C60047">
        <w:trPr>
          <w:trHeight w:val="20"/>
        </w:trPr>
        <w:tc>
          <w:tcPr>
            <w:tcW w:w="1083" w:type="pct"/>
            <w:tcBorders>
              <w:top w:val="nil"/>
              <w:left w:val="nil"/>
              <w:right w:val="nil"/>
            </w:tcBorders>
            <w:vAlign w:val="center"/>
          </w:tcPr>
          <w:p w14:paraId="00746E05"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lang w:bidi="ar"/>
              </w:rPr>
              <w:t>LIN (%)</w:t>
            </w:r>
          </w:p>
        </w:tc>
        <w:tc>
          <w:tcPr>
            <w:tcW w:w="712" w:type="pct"/>
            <w:tcBorders>
              <w:top w:val="nil"/>
              <w:left w:val="nil"/>
              <w:right w:val="nil"/>
            </w:tcBorders>
            <w:vAlign w:val="center"/>
          </w:tcPr>
          <w:p w14:paraId="0DAD6ADE"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26.06±0.99</w:t>
            </w:r>
            <w:r w:rsidRPr="002C7FC2">
              <w:rPr>
                <w:rFonts w:ascii="Gill Sans MT" w:hAnsi="Gill Sans MT"/>
                <w:sz w:val="16"/>
                <w:szCs w:val="16"/>
                <w:vertAlign w:val="superscript"/>
              </w:rPr>
              <w:t>c</w:t>
            </w:r>
          </w:p>
        </w:tc>
        <w:tc>
          <w:tcPr>
            <w:tcW w:w="744" w:type="pct"/>
            <w:tcBorders>
              <w:top w:val="nil"/>
              <w:left w:val="nil"/>
              <w:right w:val="nil"/>
            </w:tcBorders>
            <w:vAlign w:val="center"/>
          </w:tcPr>
          <w:p w14:paraId="50E99134"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52.25±1.50</w:t>
            </w:r>
            <w:r w:rsidRPr="002C7FC2">
              <w:rPr>
                <w:rFonts w:ascii="Gill Sans MT" w:hAnsi="Gill Sans MT"/>
                <w:sz w:val="16"/>
                <w:szCs w:val="16"/>
                <w:vertAlign w:val="superscript"/>
              </w:rPr>
              <w:t>a</w:t>
            </w:r>
          </w:p>
        </w:tc>
        <w:tc>
          <w:tcPr>
            <w:tcW w:w="685" w:type="pct"/>
            <w:tcBorders>
              <w:top w:val="nil"/>
              <w:left w:val="nil"/>
              <w:right w:val="nil"/>
            </w:tcBorders>
            <w:vAlign w:val="center"/>
          </w:tcPr>
          <w:p w14:paraId="2B7452F8"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49.43±1.70</w:t>
            </w:r>
            <w:r w:rsidRPr="002C7FC2">
              <w:rPr>
                <w:rFonts w:ascii="Gill Sans MT" w:hAnsi="Gill Sans MT"/>
                <w:sz w:val="16"/>
                <w:szCs w:val="16"/>
                <w:vertAlign w:val="superscript"/>
              </w:rPr>
              <w:t>ab</w:t>
            </w:r>
          </w:p>
        </w:tc>
        <w:tc>
          <w:tcPr>
            <w:tcW w:w="707" w:type="pct"/>
            <w:tcBorders>
              <w:top w:val="nil"/>
              <w:left w:val="nil"/>
              <w:right w:val="nil"/>
            </w:tcBorders>
            <w:vAlign w:val="center"/>
          </w:tcPr>
          <w:p w14:paraId="289FB270"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51.12±2.30</w:t>
            </w:r>
            <w:r w:rsidRPr="002C7FC2">
              <w:rPr>
                <w:rFonts w:ascii="Gill Sans MT" w:hAnsi="Gill Sans MT"/>
                <w:sz w:val="16"/>
                <w:szCs w:val="16"/>
                <w:vertAlign w:val="superscript"/>
              </w:rPr>
              <w:t>a</w:t>
            </w:r>
          </w:p>
        </w:tc>
        <w:tc>
          <w:tcPr>
            <w:tcW w:w="707" w:type="pct"/>
            <w:tcBorders>
              <w:top w:val="nil"/>
              <w:left w:val="nil"/>
              <w:right w:val="nil"/>
            </w:tcBorders>
            <w:vAlign w:val="center"/>
          </w:tcPr>
          <w:p w14:paraId="118D2AF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46.67±1.60</w:t>
            </w:r>
            <w:r w:rsidRPr="002C7FC2">
              <w:rPr>
                <w:rFonts w:ascii="Gill Sans MT" w:hAnsi="Gill Sans MT"/>
                <w:sz w:val="16"/>
                <w:szCs w:val="16"/>
                <w:vertAlign w:val="superscript"/>
              </w:rPr>
              <w:t>b</w:t>
            </w:r>
          </w:p>
        </w:tc>
        <w:tc>
          <w:tcPr>
            <w:tcW w:w="363" w:type="pct"/>
            <w:tcBorders>
              <w:top w:val="nil"/>
              <w:left w:val="nil"/>
              <w:right w:val="nil"/>
            </w:tcBorders>
            <w:vAlign w:val="center"/>
          </w:tcPr>
          <w:p w14:paraId="6FB5E2A6" w14:textId="77777777" w:rsidR="00C60047" w:rsidRPr="002C7FC2" w:rsidRDefault="00C60047" w:rsidP="00C60047">
            <w:pPr>
              <w:adjustRightInd w:val="0"/>
              <w:snapToGrid w:val="0"/>
              <w:spacing w:line="244" w:lineRule="auto"/>
              <w:rPr>
                <w:rFonts w:ascii="Gill Sans MT" w:hAnsi="Gill Sans MT"/>
                <w:sz w:val="16"/>
                <w:szCs w:val="16"/>
              </w:rPr>
            </w:pPr>
            <w:r w:rsidRPr="002C7FC2">
              <w:rPr>
                <w:rFonts w:ascii="Gill Sans MT" w:hAnsi="Gill Sans MT"/>
                <w:sz w:val="16"/>
                <w:szCs w:val="16"/>
              </w:rPr>
              <w:t>0.001</w:t>
            </w:r>
          </w:p>
        </w:tc>
      </w:tr>
    </w:tbl>
    <w:p w14:paraId="113AD653" w14:textId="7DD3E17E" w:rsidR="00C60047" w:rsidRDefault="00C60047" w:rsidP="00C60047">
      <w:pPr>
        <w:adjustRightInd w:val="0"/>
        <w:snapToGrid w:val="0"/>
        <w:spacing w:line="244" w:lineRule="auto"/>
        <w:jc w:val="both"/>
        <w:rPr>
          <w:sz w:val="20"/>
          <w:szCs w:val="20"/>
        </w:rPr>
      </w:pPr>
      <w:r w:rsidRPr="002C7FC2">
        <w:rPr>
          <w:rFonts w:ascii="Gill Sans MT" w:hAnsi="Gill Sans MT"/>
          <w:sz w:val="16"/>
          <w:szCs w:val="16"/>
        </w:rPr>
        <w:t>Values with different superscripts within the same row differ significantly from one another (P&lt;0.05).</w:t>
      </w:r>
    </w:p>
    <w:p w14:paraId="700C2279" w14:textId="77777777" w:rsidR="0035416C" w:rsidRPr="002C7FC2" w:rsidRDefault="0035416C" w:rsidP="0035416C">
      <w:pPr>
        <w:adjustRightInd w:val="0"/>
        <w:snapToGrid w:val="0"/>
        <w:rPr>
          <w:rFonts w:ascii="Gill Sans MT" w:hAnsi="Gill Sans MT"/>
          <w:sz w:val="16"/>
          <w:szCs w:val="16"/>
        </w:rPr>
      </w:pPr>
      <w:r w:rsidRPr="002C7FC2">
        <w:rPr>
          <w:rFonts w:ascii="Gill Sans MT" w:hAnsi="Gill Sans MT"/>
          <w:b/>
          <w:bCs/>
          <w:sz w:val="16"/>
          <w:szCs w:val="16"/>
        </w:rPr>
        <w:lastRenderedPageBreak/>
        <w:t>Table 5</w:t>
      </w:r>
      <w:r w:rsidRPr="002C7FC2">
        <w:rPr>
          <w:rFonts w:ascii="Gill Sans MT" w:hAnsi="Gill Sans MT"/>
          <w:sz w:val="16"/>
          <w:szCs w:val="16"/>
        </w:rPr>
        <w:t>: Effects of diets supplemented with various concentrations of LC on semen antioxidant capacity in Fujian Yellow rabbits</w:t>
      </w:r>
    </w:p>
    <w:tbl>
      <w:tblPr>
        <w:tblStyle w:val="TableGrid"/>
        <w:tblW w:w="5000" w:type="pct"/>
        <w:tblBorders>
          <w:left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1426"/>
        <w:gridCol w:w="1576"/>
        <w:gridCol w:w="1225"/>
        <w:gridCol w:w="1272"/>
        <w:gridCol w:w="1217"/>
        <w:gridCol w:w="1271"/>
        <w:gridCol w:w="1226"/>
        <w:gridCol w:w="536"/>
      </w:tblGrid>
      <w:tr w:rsidR="0035416C" w:rsidRPr="002C7FC2" w14:paraId="71C325C6" w14:textId="77777777" w:rsidTr="0035416C">
        <w:trPr>
          <w:cantSplit/>
          <w:trHeight w:val="20"/>
        </w:trPr>
        <w:tc>
          <w:tcPr>
            <w:tcW w:w="731" w:type="pct"/>
            <w:vMerge w:val="restart"/>
            <w:tcBorders>
              <w:right w:val="nil"/>
            </w:tcBorders>
            <w:vAlign w:val="center"/>
          </w:tcPr>
          <w:p w14:paraId="1C93614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Semen composition</w:t>
            </w:r>
          </w:p>
        </w:tc>
        <w:tc>
          <w:tcPr>
            <w:tcW w:w="808" w:type="pct"/>
            <w:vMerge w:val="restart"/>
            <w:tcBorders>
              <w:left w:val="nil"/>
              <w:right w:val="nil"/>
            </w:tcBorders>
            <w:vAlign w:val="center"/>
          </w:tcPr>
          <w:p w14:paraId="5D0710F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 xml:space="preserve"> Parameters</w:t>
            </w:r>
          </w:p>
        </w:tc>
        <w:tc>
          <w:tcPr>
            <w:tcW w:w="3185" w:type="pct"/>
            <w:gridSpan w:val="5"/>
            <w:tcBorders>
              <w:left w:val="nil"/>
              <w:bottom w:val="single" w:sz="4" w:space="0" w:color="auto"/>
              <w:tl2br w:val="nil"/>
              <w:tr2bl w:val="nil"/>
            </w:tcBorders>
            <w:vAlign w:val="center"/>
          </w:tcPr>
          <w:p w14:paraId="7323CF50"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Treatments</w:t>
            </w:r>
          </w:p>
        </w:tc>
        <w:tc>
          <w:tcPr>
            <w:tcW w:w="275" w:type="pct"/>
            <w:vMerge w:val="restart"/>
            <w:tcBorders>
              <w:tl2br w:val="nil"/>
              <w:tr2bl w:val="nil"/>
            </w:tcBorders>
            <w:vAlign w:val="center"/>
          </w:tcPr>
          <w:p w14:paraId="3FD5379C" w14:textId="77777777" w:rsidR="0035416C" w:rsidRPr="002C7FC2" w:rsidRDefault="0035416C" w:rsidP="00890324">
            <w:pPr>
              <w:adjustRightInd w:val="0"/>
              <w:snapToGrid w:val="0"/>
              <w:rPr>
                <w:rFonts w:ascii="Gill Sans MT" w:hAnsi="Gill Sans MT"/>
                <w:sz w:val="16"/>
                <w:szCs w:val="16"/>
              </w:rPr>
            </w:pPr>
            <w:bookmarkStart w:id="7" w:name="OLE_LINK38"/>
            <w:r w:rsidRPr="002C7FC2">
              <w:rPr>
                <w:rFonts w:ascii="Gill Sans MT" w:hAnsi="Gill Sans MT"/>
                <w:sz w:val="16"/>
                <w:szCs w:val="16"/>
              </w:rPr>
              <w:t>P-value</w:t>
            </w:r>
            <w:bookmarkEnd w:id="7"/>
          </w:p>
        </w:tc>
      </w:tr>
      <w:tr w:rsidR="0035416C" w:rsidRPr="002C7FC2" w14:paraId="51C881CE" w14:textId="77777777" w:rsidTr="0035416C">
        <w:trPr>
          <w:cantSplit/>
          <w:trHeight w:val="20"/>
        </w:trPr>
        <w:tc>
          <w:tcPr>
            <w:tcW w:w="731" w:type="pct"/>
            <w:vMerge/>
            <w:tcBorders>
              <w:bottom w:val="single" w:sz="4" w:space="0" w:color="auto"/>
              <w:right w:val="nil"/>
            </w:tcBorders>
            <w:vAlign w:val="center"/>
          </w:tcPr>
          <w:p w14:paraId="668D0F6B" w14:textId="77777777" w:rsidR="0035416C" w:rsidRPr="002C7FC2" w:rsidRDefault="0035416C" w:rsidP="00890324">
            <w:pPr>
              <w:adjustRightInd w:val="0"/>
              <w:snapToGrid w:val="0"/>
              <w:rPr>
                <w:rFonts w:ascii="Gill Sans MT" w:hAnsi="Gill Sans MT"/>
                <w:sz w:val="16"/>
                <w:szCs w:val="16"/>
              </w:rPr>
            </w:pPr>
          </w:p>
        </w:tc>
        <w:tc>
          <w:tcPr>
            <w:tcW w:w="808" w:type="pct"/>
            <w:vMerge/>
            <w:tcBorders>
              <w:left w:val="nil"/>
              <w:bottom w:val="single" w:sz="4" w:space="0" w:color="auto"/>
              <w:right w:val="nil"/>
            </w:tcBorders>
            <w:vAlign w:val="center"/>
          </w:tcPr>
          <w:p w14:paraId="4C956AB1" w14:textId="77777777" w:rsidR="0035416C" w:rsidRPr="002C7FC2" w:rsidRDefault="0035416C" w:rsidP="00890324">
            <w:pPr>
              <w:adjustRightInd w:val="0"/>
              <w:snapToGrid w:val="0"/>
              <w:rPr>
                <w:rFonts w:ascii="Gill Sans MT" w:hAnsi="Gill Sans MT"/>
                <w:sz w:val="16"/>
                <w:szCs w:val="16"/>
              </w:rPr>
            </w:pPr>
          </w:p>
        </w:tc>
        <w:tc>
          <w:tcPr>
            <w:tcW w:w="628" w:type="pct"/>
            <w:tcBorders>
              <w:top w:val="single" w:sz="4" w:space="0" w:color="auto"/>
              <w:left w:val="nil"/>
              <w:bottom w:val="single" w:sz="4" w:space="0" w:color="auto"/>
              <w:right w:val="nil"/>
            </w:tcBorders>
            <w:vAlign w:val="center"/>
          </w:tcPr>
          <w:p w14:paraId="1B2AD49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LC0</w:t>
            </w:r>
          </w:p>
        </w:tc>
        <w:tc>
          <w:tcPr>
            <w:tcW w:w="652" w:type="pct"/>
            <w:tcBorders>
              <w:top w:val="single" w:sz="4" w:space="0" w:color="auto"/>
              <w:left w:val="nil"/>
              <w:bottom w:val="single" w:sz="4" w:space="0" w:color="auto"/>
              <w:right w:val="nil"/>
            </w:tcBorders>
            <w:vAlign w:val="center"/>
          </w:tcPr>
          <w:p w14:paraId="552A082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LC75</w:t>
            </w:r>
          </w:p>
        </w:tc>
        <w:tc>
          <w:tcPr>
            <w:tcW w:w="624" w:type="pct"/>
            <w:tcBorders>
              <w:top w:val="single" w:sz="4" w:space="0" w:color="auto"/>
              <w:left w:val="nil"/>
              <w:bottom w:val="single" w:sz="4" w:space="0" w:color="auto"/>
              <w:right w:val="nil"/>
            </w:tcBorders>
            <w:vAlign w:val="center"/>
          </w:tcPr>
          <w:p w14:paraId="4887D0E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LC150</w:t>
            </w:r>
          </w:p>
        </w:tc>
        <w:tc>
          <w:tcPr>
            <w:tcW w:w="652" w:type="pct"/>
            <w:tcBorders>
              <w:top w:val="single" w:sz="4" w:space="0" w:color="auto"/>
              <w:left w:val="nil"/>
              <w:bottom w:val="single" w:sz="4" w:space="0" w:color="auto"/>
              <w:right w:val="nil"/>
            </w:tcBorders>
            <w:vAlign w:val="center"/>
          </w:tcPr>
          <w:p w14:paraId="1D67119B"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LC300</w:t>
            </w:r>
          </w:p>
        </w:tc>
        <w:tc>
          <w:tcPr>
            <w:tcW w:w="628" w:type="pct"/>
            <w:tcBorders>
              <w:top w:val="single" w:sz="4" w:space="0" w:color="auto"/>
              <w:left w:val="nil"/>
              <w:bottom w:val="single" w:sz="4" w:space="0" w:color="auto"/>
            </w:tcBorders>
            <w:vAlign w:val="center"/>
          </w:tcPr>
          <w:p w14:paraId="161B244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LC450</w:t>
            </w:r>
          </w:p>
        </w:tc>
        <w:tc>
          <w:tcPr>
            <w:tcW w:w="275" w:type="pct"/>
            <w:vMerge/>
            <w:tcBorders>
              <w:bottom w:val="single" w:sz="4" w:space="0" w:color="auto"/>
              <w:tl2br w:val="nil"/>
              <w:tr2bl w:val="nil"/>
            </w:tcBorders>
            <w:vAlign w:val="center"/>
          </w:tcPr>
          <w:p w14:paraId="2A4C7245" w14:textId="77777777" w:rsidR="0035416C" w:rsidRPr="002C7FC2" w:rsidRDefault="0035416C" w:rsidP="00890324">
            <w:pPr>
              <w:adjustRightInd w:val="0"/>
              <w:snapToGrid w:val="0"/>
              <w:rPr>
                <w:rFonts w:ascii="Gill Sans MT" w:hAnsi="Gill Sans MT"/>
                <w:sz w:val="16"/>
                <w:szCs w:val="16"/>
              </w:rPr>
            </w:pPr>
          </w:p>
        </w:tc>
      </w:tr>
      <w:tr w:rsidR="0035416C" w:rsidRPr="002C7FC2" w14:paraId="12C9679B" w14:textId="77777777" w:rsidTr="0035416C">
        <w:trPr>
          <w:cantSplit/>
          <w:trHeight w:val="20"/>
        </w:trPr>
        <w:tc>
          <w:tcPr>
            <w:tcW w:w="731" w:type="pct"/>
            <w:vMerge w:val="restart"/>
            <w:tcBorders>
              <w:top w:val="single" w:sz="4" w:space="0" w:color="auto"/>
              <w:right w:val="nil"/>
            </w:tcBorders>
            <w:vAlign w:val="center"/>
          </w:tcPr>
          <w:p w14:paraId="1428934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Seminal plasma</w:t>
            </w:r>
          </w:p>
        </w:tc>
        <w:tc>
          <w:tcPr>
            <w:tcW w:w="808" w:type="pct"/>
            <w:tcBorders>
              <w:top w:val="single" w:sz="4" w:space="0" w:color="auto"/>
              <w:left w:val="nil"/>
              <w:bottom w:val="nil"/>
              <w:right w:val="nil"/>
            </w:tcBorders>
            <w:vAlign w:val="center"/>
          </w:tcPr>
          <w:p w14:paraId="73A6E3A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SOD</w:t>
            </w:r>
            <w:bookmarkStart w:id="8" w:name="OLE_LINK37"/>
            <w:r w:rsidRPr="002C7FC2">
              <w:rPr>
                <w:rFonts w:ascii="Gill Sans MT" w:hAnsi="Gill Sans MT"/>
                <w:sz w:val="16"/>
                <w:szCs w:val="16"/>
              </w:rPr>
              <w:t xml:space="preserve"> (U/ml)</w:t>
            </w:r>
            <w:bookmarkEnd w:id="8"/>
          </w:p>
        </w:tc>
        <w:tc>
          <w:tcPr>
            <w:tcW w:w="628" w:type="pct"/>
            <w:tcBorders>
              <w:top w:val="single" w:sz="4" w:space="0" w:color="auto"/>
              <w:left w:val="nil"/>
              <w:bottom w:val="nil"/>
              <w:right w:val="nil"/>
            </w:tcBorders>
            <w:vAlign w:val="center"/>
          </w:tcPr>
          <w:p w14:paraId="64788E3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288.96±24.69</w:t>
            </w:r>
            <w:r w:rsidRPr="002C7FC2">
              <w:rPr>
                <w:rFonts w:ascii="Gill Sans MT" w:hAnsi="Gill Sans MT"/>
                <w:sz w:val="16"/>
                <w:szCs w:val="16"/>
                <w:vertAlign w:val="superscript"/>
              </w:rPr>
              <w:t>b</w:t>
            </w:r>
          </w:p>
        </w:tc>
        <w:tc>
          <w:tcPr>
            <w:tcW w:w="652" w:type="pct"/>
            <w:tcBorders>
              <w:top w:val="single" w:sz="4" w:space="0" w:color="auto"/>
              <w:left w:val="nil"/>
              <w:bottom w:val="nil"/>
              <w:right w:val="nil"/>
            </w:tcBorders>
            <w:vAlign w:val="center"/>
          </w:tcPr>
          <w:p w14:paraId="7FF4499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287.94±37.41</w:t>
            </w:r>
            <w:r w:rsidRPr="002C7FC2">
              <w:rPr>
                <w:rFonts w:ascii="Gill Sans MT" w:hAnsi="Gill Sans MT"/>
                <w:sz w:val="16"/>
                <w:szCs w:val="16"/>
                <w:vertAlign w:val="superscript"/>
              </w:rPr>
              <w:t>b</w:t>
            </w:r>
          </w:p>
        </w:tc>
        <w:tc>
          <w:tcPr>
            <w:tcW w:w="624" w:type="pct"/>
            <w:tcBorders>
              <w:top w:val="single" w:sz="4" w:space="0" w:color="auto"/>
              <w:left w:val="nil"/>
              <w:bottom w:val="nil"/>
              <w:right w:val="nil"/>
            </w:tcBorders>
            <w:vAlign w:val="center"/>
          </w:tcPr>
          <w:p w14:paraId="59B70FFF"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351.72±29.27</w:t>
            </w:r>
            <w:r w:rsidRPr="002C7FC2">
              <w:rPr>
                <w:rFonts w:ascii="Gill Sans MT" w:hAnsi="Gill Sans MT"/>
                <w:sz w:val="16"/>
                <w:szCs w:val="16"/>
                <w:vertAlign w:val="superscript"/>
              </w:rPr>
              <w:t>ab</w:t>
            </w:r>
          </w:p>
        </w:tc>
        <w:tc>
          <w:tcPr>
            <w:tcW w:w="652" w:type="pct"/>
            <w:tcBorders>
              <w:top w:val="single" w:sz="4" w:space="0" w:color="auto"/>
              <w:left w:val="nil"/>
              <w:bottom w:val="nil"/>
              <w:right w:val="nil"/>
            </w:tcBorders>
            <w:vAlign w:val="center"/>
          </w:tcPr>
          <w:p w14:paraId="5EED9F0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398.37±10.60</w:t>
            </w:r>
            <w:r w:rsidRPr="002C7FC2">
              <w:rPr>
                <w:rFonts w:ascii="Gill Sans MT" w:hAnsi="Gill Sans MT"/>
                <w:sz w:val="16"/>
                <w:szCs w:val="16"/>
                <w:vertAlign w:val="superscript"/>
              </w:rPr>
              <w:t>a</w:t>
            </w:r>
          </w:p>
        </w:tc>
        <w:tc>
          <w:tcPr>
            <w:tcW w:w="628" w:type="pct"/>
            <w:tcBorders>
              <w:top w:val="single" w:sz="4" w:space="0" w:color="auto"/>
              <w:left w:val="nil"/>
              <w:bottom w:val="nil"/>
              <w:right w:val="nil"/>
            </w:tcBorders>
            <w:vAlign w:val="center"/>
          </w:tcPr>
          <w:p w14:paraId="5CFB816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339.02±6.90</w:t>
            </w:r>
            <w:r w:rsidRPr="002C7FC2">
              <w:rPr>
                <w:rFonts w:ascii="Gill Sans MT" w:hAnsi="Gill Sans MT"/>
                <w:sz w:val="16"/>
                <w:szCs w:val="16"/>
                <w:vertAlign w:val="superscript"/>
              </w:rPr>
              <w:t>ab</w:t>
            </w:r>
          </w:p>
        </w:tc>
        <w:tc>
          <w:tcPr>
            <w:tcW w:w="275" w:type="pct"/>
            <w:tcBorders>
              <w:top w:val="single" w:sz="4" w:space="0" w:color="auto"/>
              <w:left w:val="nil"/>
              <w:bottom w:val="nil"/>
            </w:tcBorders>
            <w:vAlign w:val="center"/>
          </w:tcPr>
          <w:p w14:paraId="37A0116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0.038</w:t>
            </w:r>
          </w:p>
        </w:tc>
      </w:tr>
      <w:tr w:rsidR="0035416C" w:rsidRPr="002C7FC2" w14:paraId="0510FA34" w14:textId="77777777" w:rsidTr="0035416C">
        <w:trPr>
          <w:cantSplit/>
          <w:trHeight w:val="20"/>
        </w:trPr>
        <w:tc>
          <w:tcPr>
            <w:tcW w:w="731" w:type="pct"/>
            <w:vMerge/>
            <w:tcBorders>
              <w:right w:val="nil"/>
            </w:tcBorders>
            <w:vAlign w:val="center"/>
          </w:tcPr>
          <w:p w14:paraId="53985317" w14:textId="77777777" w:rsidR="0035416C" w:rsidRPr="002C7FC2" w:rsidRDefault="0035416C" w:rsidP="00890324">
            <w:pPr>
              <w:adjustRightInd w:val="0"/>
              <w:snapToGrid w:val="0"/>
              <w:rPr>
                <w:rFonts w:ascii="Gill Sans MT" w:hAnsi="Gill Sans MT"/>
                <w:sz w:val="16"/>
                <w:szCs w:val="16"/>
              </w:rPr>
            </w:pPr>
          </w:p>
        </w:tc>
        <w:tc>
          <w:tcPr>
            <w:tcW w:w="808" w:type="pct"/>
            <w:tcBorders>
              <w:top w:val="nil"/>
              <w:left w:val="nil"/>
              <w:bottom w:val="nil"/>
              <w:right w:val="nil"/>
            </w:tcBorders>
            <w:vAlign w:val="center"/>
          </w:tcPr>
          <w:p w14:paraId="15B8728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MDA</w:t>
            </w:r>
            <w:bookmarkStart w:id="9" w:name="OLE_LINK40"/>
            <w:r w:rsidRPr="002C7FC2">
              <w:rPr>
                <w:rFonts w:ascii="Gill Sans MT" w:hAnsi="Gill Sans MT"/>
                <w:sz w:val="16"/>
                <w:szCs w:val="16"/>
              </w:rPr>
              <w:t xml:space="preserve"> </w:t>
            </w:r>
            <w:r w:rsidRPr="002C7FC2">
              <w:rPr>
                <w:rFonts w:ascii="Gill Sans MT" w:hAnsi="Gill Sans MT"/>
                <w:sz w:val="16"/>
                <w:szCs w:val="16"/>
                <w:lang w:bidi="ar"/>
              </w:rPr>
              <w:t>(nmol/ml)</w:t>
            </w:r>
            <w:bookmarkEnd w:id="9"/>
          </w:p>
        </w:tc>
        <w:tc>
          <w:tcPr>
            <w:tcW w:w="628" w:type="pct"/>
            <w:tcBorders>
              <w:top w:val="nil"/>
              <w:left w:val="nil"/>
              <w:bottom w:val="nil"/>
              <w:right w:val="nil"/>
            </w:tcBorders>
            <w:vAlign w:val="center"/>
          </w:tcPr>
          <w:p w14:paraId="600E380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0.02±0.001</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1C87301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0.02±0.001</w:t>
            </w:r>
            <w:r w:rsidRPr="002C7FC2">
              <w:rPr>
                <w:rFonts w:ascii="Gill Sans MT" w:hAnsi="Gill Sans MT"/>
                <w:sz w:val="16"/>
                <w:szCs w:val="16"/>
                <w:vertAlign w:val="superscript"/>
              </w:rPr>
              <w:t>a</w:t>
            </w:r>
          </w:p>
        </w:tc>
        <w:tc>
          <w:tcPr>
            <w:tcW w:w="624" w:type="pct"/>
            <w:tcBorders>
              <w:top w:val="nil"/>
              <w:left w:val="nil"/>
              <w:bottom w:val="nil"/>
              <w:right w:val="nil"/>
            </w:tcBorders>
            <w:vAlign w:val="center"/>
          </w:tcPr>
          <w:p w14:paraId="094DB9C1"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0.01±0</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05DBE63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0.01±0</w:t>
            </w:r>
            <w:r w:rsidRPr="002C7FC2">
              <w:rPr>
                <w:rFonts w:ascii="Gill Sans MT" w:hAnsi="Gill Sans MT"/>
                <w:sz w:val="16"/>
                <w:szCs w:val="16"/>
                <w:vertAlign w:val="superscript"/>
              </w:rPr>
              <w:t>b</w:t>
            </w:r>
          </w:p>
        </w:tc>
        <w:tc>
          <w:tcPr>
            <w:tcW w:w="628" w:type="pct"/>
            <w:tcBorders>
              <w:top w:val="nil"/>
              <w:left w:val="nil"/>
              <w:bottom w:val="nil"/>
              <w:right w:val="nil"/>
            </w:tcBorders>
            <w:vAlign w:val="center"/>
          </w:tcPr>
          <w:p w14:paraId="601AF822"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0.02±0.001</w:t>
            </w:r>
            <w:r w:rsidRPr="002C7FC2">
              <w:rPr>
                <w:rFonts w:ascii="Gill Sans MT" w:hAnsi="Gill Sans MT"/>
                <w:sz w:val="16"/>
                <w:szCs w:val="16"/>
                <w:vertAlign w:val="superscript"/>
              </w:rPr>
              <w:t>b</w:t>
            </w:r>
          </w:p>
        </w:tc>
        <w:tc>
          <w:tcPr>
            <w:tcW w:w="275" w:type="pct"/>
            <w:tcBorders>
              <w:top w:val="nil"/>
              <w:left w:val="nil"/>
              <w:bottom w:val="nil"/>
            </w:tcBorders>
            <w:vAlign w:val="center"/>
          </w:tcPr>
          <w:p w14:paraId="05AE26B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0.005</w:t>
            </w:r>
          </w:p>
        </w:tc>
      </w:tr>
      <w:tr w:rsidR="0035416C" w:rsidRPr="002C7FC2" w14:paraId="4B4A336E" w14:textId="77777777" w:rsidTr="0035416C">
        <w:trPr>
          <w:cantSplit/>
          <w:trHeight w:val="20"/>
        </w:trPr>
        <w:tc>
          <w:tcPr>
            <w:tcW w:w="731" w:type="pct"/>
            <w:vMerge/>
            <w:tcBorders>
              <w:right w:val="nil"/>
            </w:tcBorders>
            <w:vAlign w:val="center"/>
          </w:tcPr>
          <w:p w14:paraId="775B52B0" w14:textId="77777777" w:rsidR="0035416C" w:rsidRPr="002C7FC2" w:rsidRDefault="0035416C" w:rsidP="00890324">
            <w:pPr>
              <w:adjustRightInd w:val="0"/>
              <w:snapToGrid w:val="0"/>
              <w:rPr>
                <w:rFonts w:ascii="Gill Sans MT" w:hAnsi="Gill Sans MT"/>
                <w:sz w:val="16"/>
                <w:szCs w:val="16"/>
              </w:rPr>
            </w:pPr>
          </w:p>
        </w:tc>
        <w:tc>
          <w:tcPr>
            <w:tcW w:w="808" w:type="pct"/>
            <w:tcBorders>
              <w:top w:val="nil"/>
              <w:left w:val="nil"/>
              <w:bottom w:val="nil"/>
              <w:right w:val="nil"/>
            </w:tcBorders>
            <w:vAlign w:val="center"/>
          </w:tcPr>
          <w:p w14:paraId="058013D1"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T-AOC (mM)</w:t>
            </w:r>
          </w:p>
        </w:tc>
        <w:tc>
          <w:tcPr>
            <w:tcW w:w="628" w:type="pct"/>
            <w:tcBorders>
              <w:top w:val="nil"/>
              <w:left w:val="nil"/>
              <w:bottom w:val="nil"/>
              <w:right w:val="nil"/>
            </w:tcBorders>
            <w:vAlign w:val="center"/>
          </w:tcPr>
          <w:p w14:paraId="1D84DF5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2.11±0.001</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0D79D39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2.11±0.001</w:t>
            </w:r>
            <w:r w:rsidRPr="002C7FC2">
              <w:rPr>
                <w:rFonts w:ascii="Gill Sans MT" w:hAnsi="Gill Sans MT"/>
                <w:sz w:val="16"/>
                <w:szCs w:val="16"/>
                <w:vertAlign w:val="superscript"/>
              </w:rPr>
              <w:t>b</w:t>
            </w:r>
          </w:p>
        </w:tc>
        <w:tc>
          <w:tcPr>
            <w:tcW w:w="624" w:type="pct"/>
            <w:tcBorders>
              <w:top w:val="nil"/>
              <w:left w:val="nil"/>
              <w:bottom w:val="nil"/>
              <w:right w:val="nil"/>
            </w:tcBorders>
            <w:vAlign w:val="center"/>
          </w:tcPr>
          <w:p w14:paraId="15B73BC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2.12±0.001</w:t>
            </w:r>
            <w:r w:rsidRPr="002C7FC2">
              <w:rPr>
                <w:rFonts w:ascii="Gill Sans MT" w:hAnsi="Gill Sans MT"/>
                <w:sz w:val="16"/>
                <w:szCs w:val="16"/>
                <w:vertAlign w:val="superscript"/>
              </w:rPr>
              <w:t>ab</w:t>
            </w:r>
          </w:p>
        </w:tc>
        <w:tc>
          <w:tcPr>
            <w:tcW w:w="652" w:type="pct"/>
            <w:tcBorders>
              <w:top w:val="nil"/>
              <w:left w:val="nil"/>
              <w:bottom w:val="nil"/>
              <w:right w:val="nil"/>
            </w:tcBorders>
            <w:vAlign w:val="center"/>
          </w:tcPr>
          <w:p w14:paraId="317CCE5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2.14±0.001</w:t>
            </w:r>
            <w:r w:rsidRPr="002C7FC2">
              <w:rPr>
                <w:rFonts w:ascii="Gill Sans MT" w:hAnsi="Gill Sans MT"/>
                <w:sz w:val="16"/>
                <w:szCs w:val="16"/>
                <w:vertAlign w:val="superscript"/>
              </w:rPr>
              <w:t>a</w:t>
            </w:r>
          </w:p>
        </w:tc>
        <w:tc>
          <w:tcPr>
            <w:tcW w:w="628" w:type="pct"/>
            <w:tcBorders>
              <w:top w:val="nil"/>
              <w:left w:val="nil"/>
              <w:bottom w:val="nil"/>
              <w:right w:val="nil"/>
            </w:tcBorders>
            <w:vAlign w:val="center"/>
          </w:tcPr>
          <w:p w14:paraId="1C045D9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2.14±0.001</w:t>
            </w:r>
            <w:r w:rsidRPr="002C7FC2">
              <w:rPr>
                <w:rFonts w:ascii="Gill Sans MT" w:hAnsi="Gill Sans MT"/>
                <w:sz w:val="16"/>
                <w:szCs w:val="16"/>
                <w:vertAlign w:val="superscript"/>
              </w:rPr>
              <w:t>ab</w:t>
            </w:r>
          </w:p>
        </w:tc>
        <w:tc>
          <w:tcPr>
            <w:tcW w:w="275" w:type="pct"/>
            <w:tcBorders>
              <w:top w:val="nil"/>
              <w:left w:val="nil"/>
              <w:bottom w:val="nil"/>
            </w:tcBorders>
            <w:vAlign w:val="center"/>
          </w:tcPr>
          <w:p w14:paraId="6E86FAA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0.021</w:t>
            </w:r>
          </w:p>
        </w:tc>
      </w:tr>
      <w:tr w:rsidR="0035416C" w:rsidRPr="002C7FC2" w14:paraId="720F928E" w14:textId="77777777" w:rsidTr="0035416C">
        <w:trPr>
          <w:cantSplit/>
          <w:trHeight w:val="20"/>
        </w:trPr>
        <w:tc>
          <w:tcPr>
            <w:tcW w:w="731" w:type="pct"/>
            <w:vMerge/>
            <w:tcBorders>
              <w:right w:val="nil"/>
            </w:tcBorders>
            <w:vAlign w:val="center"/>
          </w:tcPr>
          <w:p w14:paraId="78A3D24F" w14:textId="77777777" w:rsidR="0035416C" w:rsidRPr="002C7FC2" w:rsidRDefault="0035416C" w:rsidP="00890324">
            <w:pPr>
              <w:adjustRightInd w:val="0"/>
              <w:snapToGrid w:val="0"/>
              <w:rPr>
                <w:rFonts w:ascii="Gill Sans MT" w:hAnsi="Gill Sans MT"/>
                <w:sz w:val="16"/>
                <w:szCs w:val="16"/>
              </w:rPr>
            </w:pPr>
          </w:p>
        </w:tc>
        <w:tc>
          <w:tcPr>
            <w:tcW w:w="808" w:type="pct"/>
            <w:tcBorders>
              <w:top w:val="nil"/>
              <w:left w:val="nil"/>
              <w:bottom w:val="nil"/>
              <w:right w:val="nil"/>
            </w:tcBorders>
            <w:vAlign w:val="center"/>
          </w:tcPr>
          <w:p w14:paraId="3FC8084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CAT (U/ml)</w:t>
            </w:r>
          </w:p>
        </w:tc>
        <w:tc>
          <w:tcPr>
            <w:tcW w:w="628" w:type="pct"/>
            <w:tcBorders>
              <w:top w:val="nil"/>
              <w:left w:val="nil"/>
              <w:bottom w:val="nil"/>
              <w:right w:val="nil"/>
            </w:tcBorders>
            <w:vAlign w:val="center"/>
          </w:tcPr>
          <w:p w14:paraId="77F15A4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7.74±0.31</w:t>
            </w:r>
            <w:r w:rsidRPr="002C7FC2">
              <w:rPr>
                <w:rFonts w:ascii="Gill Sans MT" w:hAnsi="Gill Sans MT"/>
                <w:sz w:val="16"/>
                <w:szCs w:val="16"/>
                <w:vertAlign w:val="superscript"/>
              </w:rPr>
              <w:t>d</w:t>
            </w:r>
          </w:p>
        </w:tc>
        <w:tc>
          <w:tcPr>
            <w:tcW w:w="652" w:type="pct"/>
            <w:tcBorders>
              <w:top w:val="nil"/>
              <w:left w:val="nil"/>
              <w:bottom w:val="nil"/>
              <w:right w:val="nil"/>
            </w:tcBorders>
            <w:vAlign w:val="center"/>
          </w:tcPr>
          <w:p w14:paraId="012196F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15.44±1.24</w:t>
            </w:r>
            <w:r w:rsidRPr="002C7FC2">
              <w:rPr>
                <w:rFonts w:ascii="Gill Sans MT" w:hAnsi="Gill Sans MT"/>
                <w:sz w:val="16"/>
                <w:szCs w:val="16"/>
                <w:vertAlign w:val="superscript"/>
              </w:rPr>
              <w:t>bc</w:t>
            </w:r>
          </w:p>
        </w:tc>
        <w:tc>
          <w:tcPr>
            <w:tcW w:w="624" w:type="pct"/>
            <w:tcBorders>
              <w:top w:val="nil"/>
              <w:left w:val="nil"/>
              <w:bottom w:val="nil"/>
              <w:right w:val="nil"/>
            </w:tcBorders>
            <w:vAlign w:val="center"/>
          </w:tcPr>
          <w:p w14:paraId="00A9195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21.29±1.61</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723DB40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17.99±0.82</w:t>
            </w:r>
            <w:r w:rsidRPr="002C7FC2">
              <w:rPr>
                <w:rFonts w:ascii="Gill Sans MT" w:hAnsi="Gill Sans MT"/>
                <w:sz w:val="16"/>
                <w:szCs w:val="16"/>
                <w:vertAlign w:val="superscript"/>
              </w:rPr>
              <w:t>ab</w:t>
            </w:r>
          </w:p>
        </w:tc>
        <w:tc>
          <w:tcPr>
            <w:tcW w:w="628" w:type="pct"/>
            <w:tcBorders>
              <w:top w:val="nil"/>
              <w:left w:val="nil"/>
              <w:bottom w:val="nil"/>
              <w:right w:val="nil"/>
            </w:tcBorders>
            <w:vAlign w:val="center"/>
          </w:tcPr>
          <w:p w14:paraId="4430A0A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13.01±1.23</w:t>
            </w:r>
            <w:r w:rsidRPr="002C7FC2">
              <w:rPr>
                <w:rFonts w:ascii="Gill Sans MT" w:hAnsi="Gill Sans MT"/>
                <w:sz w:val="16"/>
                <w:szCs w:val="16"/>
                <w:vertAlign w:val="superscript"/>
              </w:rPr>
              <w:t>c</w:t>
            </w:r>
          </w:p>
        </w:tc>
        <w:tc>
          <w:tcPr>
            <w:tcW w:w="275" w:type="pct"/>
            <w:tcBorders>
              <w:top w:val="nil"/>
              <w:left w:val="nil"/>
              <w:bottom w:val="nil"/>
            </w:tcBorders>
            <w:vAlign w:val="center"/>
          </w:tcPr>
          <w:p w14:paraId="1890476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0.001</w:t>
            </w:r>
          </w:p>
        </w:tc>
      </w:tr>
      <w:tr w:rsidR="0035416C" w:rsidRPr="002C7FC2" w14:paraId="022D7AE5" w14:textId="77777777" w:rsidTr="0035416C">
        <w:trPr>
          <w:cantSplit/>
          <w:trHeight w:val="20"/>
        </w:trPr>
        <w:tc>
          <w:tcPr>
            <w:tcW w:w="731" w:type="pct"/>
            <w:vMerge/>
            <w:tcBorders>
              <w:right w:val="nil"/>
            </w:tcBorders>
            <w:vAlign w:val="center"/>
          </w:tcPr>
          <w:p w14:paraId="5A763983" w14:textId="77777777" w:rsidR="0035416C" w:rsidRPr="002C7FC2" w:rsidRDefault="0035416C" w:rsidP="00890324">
            <w:pPr>
              <w:adjustRightInd w:val="0"/>
              <w:snapToGrid w:val="0"/>
              <w:rPr>
                <w:rFonts w:ascii="Gill Sans MT" w:hAnsi="Gill Sans MT"/>
                <w:sz w:val="16"/>
                <w:szCs w:val="16"/>
              </w:rPr>
            </w:pPr>
          </w:p>
        </w:tc>
        <w:tc>
          <w:tcPr>
            <w:tcW w:w="808" w:type="pct"/>
            <w:tcBorders>
              <w:top w:val="nil"/>
              <w:left w:val="nil"/>
              <w:bottom w:val="nil"/>
              <w:right w:val="nil"/>
            </w:tcBorders>
            <w:vAlign w:val="center"/>
          </w:tcPr>
          <w:p w14:paraId="04892E0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GSH-</w:t>
            </w:r>
            <w:proofErr w:type="spellStart"/>
            <w:r w:rsidRPr="002C7FC2">
              <w:rPr>
                <w:rFonts w:ascii="Gill Sans MT" w:hAnsi="Gill Sans MT"/>
                <w:sz w:val="16"/>
                <w:szCs w:val="16"/>
              </w:rPr>
              <w:t>Px</w:t>
            </w:r>
            <w:proofErr w:type="spellEnd"/>
            <w:r w:rsidRPr="002C7FC2">
              <w:rPr>
                <w:rFonts w:ascii="Gill Sans MT" w:hAnsi="Gill Sans MT"/>
                <w:sz w:val="16"/>
                <w:szCs w:val="16"/>
              </w:rPr>
              <w:t xml:space="preserve"> (U/ml)</w:t>
            </w:r>
          </w:p>
        </w:tc>
        <w:tc>
          <w:tcPr>
            <w:tcW w:w="628" w:type="pct"/>
            <w:tcBorders>
              <w:top w:val="nil"/>
              <w:left w:val="nil"/>
              <w:bottom w:val="nil"/>
              <w:right w:val="nil"/>
            </w:tcBorders>
            <w:vAlign w:val="center"/>
          </w:tcPr>
          <w:p w14:paraId="1DB7C1C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177.35±1.76</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2D918CB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172.16±15.15</w:t>
            </w:r>
            <w:r w:rsidRPr="002C7FC2">
              <w:rPr>
                <w:rFonts w:ascii="Gill Sans MT" w:hAnsi="Gill Sans MT"/>
                <w:sz w:val="16"/>
                <w:szCs w:val="16"/>
                <w:vertAlign w:val="superscript"/>
              </w:rPr>
              <w:t>b</w:t>
            </w:r>
          </w:p>
        </w:tc>
        <w:tc>
          <w:tcPr>
            <w:tcW w:w="624" w:type="pct"/>
            <w:tcBorders>
              <w:top w:val="nil"/>
              <w:left w:val="nil"/>
              <w:bottom w:val="nil"/>
              <w:right w:val="nil"/>
            </w:tcBorders>
            <w:vAlign w:val="center"/>
          </w:tcPr>
          <w:p w14:paraId="43D1174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199.61±1.91</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47762EB2"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193.95±1.84</w:t>
            </w:r>
            <w:r w:rsidRPr="002C7FC2">
              <w:rPr>
                <w:rFonts w:ascii="Gill Sans MT" w:hAnsi="Gill Sans MT"/>
                <w:sz w:val="16"/>
                <w:szCs w:val="16"/>
                <w:vertAlign w:val="superscript"/>
              </w:rPr>
              <w:t>a</w:t>
            </w:r>
          </w:p>
        </w:tc>
        <w:tc>
          <w:tcPr>
            <w:tcW w:w="628" w:type="pct"/>
            <w:tcBorders>
              <w:top w:val="nil"/>
              <w:left w:val="nil"/>
              <w:bottom w:val="nil"/>
              <w:right w:val="nil"/>
            </w:tcBorders>
            <w:vAlign w:val="center"/>
          </w:tcPr>
          <w:p w14:paraId="1BEA35D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191.53±4.73</w:t>
            </w:r>
            <w:r w:rsidRPr="002C7FC2">
              <w:rPr>
                <w:rFonts w:ascii="Gill Sans MT" w:hAnsi="Gill Sans MT"/>
                <w:sz w:val="16"/>
                <w:szCs w:val="16"/>
                <w:vertAlign w:val="superscript"/>
              </w:rPr>
              <w:t>a</w:t>
            </w:r>
          </w:p>
        </w:tc>
        <w:tc>
          <w:tcPr>
            <w:tcW w:w="275" w:type="pct"/>
            <w:tcBorders>
              <w:top w:val="nil"/>
              <w:left w:val="nil"/>
              <w:bottom w:val="nil"/>
            </w:tcBorders>
            <w:vAlign w:val="center"/>
          </w:tcPr>
          <w:p w14:paraId="03201E0D"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0.004</w:t>
            </w:r>
          </w:p>
        </w:tc>
      </w:tr>
      <w:tr w:rsidR="0035416C" w:rsidRPr="002C7FC2" w14:paraId="4C5DE7D5" w14:textId="77777777" w:rsidTr="0035416C">
        <w:trPr>
          <w:cantSplit/>
          <w:trHeight w:val="20"/>
        </w:trPr>
        <w:tc>
          <w:tcPr>
            <w:tcW w:w="731" w:type="pct"/>
            <w:vMerge/>
            <w:tcBorders>
              <w:right w:val="nil"/>
            </w:tcBorders>
            <w:vAlign w:val="center"/>
          </w:tcPr>
          <w:p w14:paraId="25D05014" w14:textId="77777777" w:rsidR="0035416C" w:rsidRPr="002C7FC2" w:rsidRDefault="0035416C" w:rsidP="00890324">
            <w:pPr>
              <w:adjustRightInd w:val="0"/>
              <w:snapToGrid w:val="0"/>
              <w:rPr>
                <w:rFonts w:ascii="Gill Sans MT" w:hAnsi="Gill Sans MT"/>
                <w:sz w:val="16"/>
                <w:szCs w:val="16"/>
              </w:rPr>
            </w:pPr>
          </w:p>
        </w:tc>
        <w:tc>
          <w:tcPr>
            <w:tcW w:w="808" w:type="pct"/>
            <w:tcBorders>
              <w:top w:val="nil"/>
              <w:left w:val="nil"/>
              <w:bottom w:val="nil"/>
              <w:right w:val="nil"/>
            </w:tcBorders>
            <w:vAlign w:val="center"/>
          </w:tcPr>
          <w:p w14:paraId="439CD22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ROS</w:t>
            </w:r>
          </w:p>
        </w:tc>
        <w:tc>
          <w:tcPr>
            <w:tcW w:w="628" w:type="pct"/>
            <w:tcBorders>
              <w:top w:val="nil"/>
              <w:left w:val="nil"/>
              <w:bottom w:val="nil"/>
              <w:right w:val="nil"/>
            </w:tcBorders>
            <w:vAlign w:val="center"/>
          </w:tcPr>
          <w:p w14:paraId="7237BC0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0.25±0.03</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5F35FEEF"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0.17±0.02</w:t>
            </w:r>
            <w:r w:rsidRPr="002C7FC2">
              <w:rPr>
                <w:rFonts w:ascii="Gill Sans MT" w:hAnsi="Gill Sans MT"/>
                <w:sz w:val="16"/>
                <w:szCs w:val="16"/>
                <w:vertAlign w:val="superscript"/>
              </w:rPr>
              <w:t>b</w:t>
            </w:r>
          </w:p>
        </w:tc>
        <w:tc>
          <w:tcPr>
            <w:tcW w:w="624" w:type="pct"/>
            <w:tcBorders>
              <w:top w:val="nil"/>
              <w:left w:val="nil"/>
              <w:bottom w:val="nil"/>
              <w:right w:val="nil"/>
            </w:tcBorders>
            <w:vAlign w:val="center"/>
          </w:tcPr>
          <w:p w14:paraId="35820A4A"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0.14±0.03</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58D18F3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0.15±0.02</w:t>
            </w:r>
            <w:r w:rsidRPr="002C7FC2">
              <w:rPr>
                <w:rFonts w:ascii="Gill Sans MT" w:hAnsi="Gill Sans MT"/>
                <w:sz w:val="16"/>
                <w:szCs w:val="16"/>
                <w:vertAlign w:val="superscript"/>
              </w:rPr>
              <w:t>b</w:t>
            </w:r>
          </w:p>
        </w:tc>
        <w:tc>
          <w:tcPr>
            <w:tcW w:w="628" w:type="pct"/>
            <w:tcBorders>
              <w:top w:val="nil"/>
              <w:left w:val="nil"/>
              <w:bottom w:val="nil"/>
              <w:right w:val="nil"/>
            </w:tcBorders>
            <w:vAlign w:val="center"/>
          </w:tcPr>
          <w:p w14:paraId="7A6F7AF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0.17±0.02</w:t>
            </w:r>
            <w:r w:rsidRPr="002C7FC2">
              <w:rPr>
                <w:rFonts w:ascii="Gill Sans MT" w:hAnsi="Gill Sans MT"/>
                <w:sz w:val="16"/>
                <w:szCs w:val="16"/>
                <w:vertAlign w:val="superscript"/>
              </w:rPr>
              <w:t>b</w:t>
            </w:r>
          </w:p>
        </w:tc>
        <w:tc>
          <w:tcPr>
            <w:tcW w:w="275" w:type="pct"/>
            <w:tcBorders>
              <w:top w:val="nil"/>
              <w:left w:val="nil"/>
              <w:bottom w:val="nil"/>
            </w:tcBorders>
            <w:vAlign w:val="center"/>
          </w:tcPr>
          <w:p w14:paraId="21CCE44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0.041</w:t>
            </w:r>
          </w:p>
        </w:tc>
      </w:tr>
      <w:tr w:rsidR="0035416C" w:rsidRPr="002C7FC2" w14:paraId="7DC69192" w14:textId="77777777" w:rsidTr="0035416C">
        <w:trPr>
          <w:cantSplit/>
          <w:trHeight w:val="20"/>
        </w:trPr>
        <w:tc>
          <w:tcPr>
            <w:tcW w:w="731" w:type="pct"/>
            <w:vMerge/>
            <w:tcBorders>
              <w:bottom w:val="single" w:sz="4" w:space="0" w:color="auto"/>
              <w:right w:val="nil"/>
            </w:tcBorders>
            <w:vAlign w:val="center"/>
          </w:tcPr>
          <w:p w14:paraId="4993BC22" w14:textId="77777777" w:rsidR="0035416C" w:rsidRPr="002C7FC2" w:rsidRDefault="0035416C" w:rsidP="00890324">
            <w:pPr>
              <w:adjustRightInd w:val="0"/>
              <w:snapToGrid w:val="0"/>
              <w:rPr>
                <w:rFonts w:ascii="Gill Sans MT" w:hAnsi="Gill Sans MT"/>
                <w:sz w:val="16"/>
                <w:szCs w:val="16"/>
                <w:lang w:bidi="ar"/>
              </w:rPr>
            </w:pPr>
          </w:p>
        </w:tc>
        <w:tc>
          <w:tcPr>
            <w:tcW w:w="808" w:type="pct"/>
            <w:tcBorders>
              <w:top w:val="nil"/>
              <w:left w:val="nil"/>
              <w:bottom w:val="single" w:sz="4" w:space="0" w:color="auto"/>
              <w:right w:val="nil"/>
            </w:tcBorders>
            <w:vAlign w:val="center"/>
          </w:tcPr>
          <w:p w14:paraId="43A53174"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lang w:bidi="ar"/>
              </w:rPr>
              <w:t>LC content (</w:t>
            </w:r>
            <w:bookmarkStart w:id="10" w:name="OLE_LINK42"/>
            <w:r w:rsidRPr="002C7FC2">
              <w:rPr>
                <w:rFonts w:ascii="Gill Sans MT" w:hAnsi="Gill Sans MT"/>
                <w:sz w:val="16"/>
                <w:szCs w:val="16"/>
                <w:lang w:bidi="ar"/>
              </w:rPr>
              <w:t>nmol/</w:t>
            </w:r>
            <w:bookmarkEnd w:id="10"/>
            <w:r w:rsidRPr="002C7FC2">
              <w:rPr>
                <w:rFonts w:ascii="Gill Sans MT" w:hAnsi="Gill Sans MT"/>
                <w:sz w:val="16"/>
                <w:szCs w:val="16"/>
                <w:lang w:bidi="ar"/>
              </w:rPr>
              <w:t>ml)</w:t>
            </w:r>
          </w:p>
        </w:tc>
        <w:tc>
          <w:tcPr>
            <w:tcW w:w="628" w:type="pct"/>
            <w:tcBorders>
              <w:top w:val="nil"/>
              <w:left w:val="nil"/>
              <w:bottom w:val="single" w:sz="4" w:space="0" w:color="auto"/>
              <w:right w:val="nil"/>
            </w:tcBorders>
            <w:vAlign w:val="center"/>
          </w:tcPr>
          <w:p w14:paraId="3367057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0.03±0</w:t>
            </w:r>
            <w:r w:rsidRPr="002C7FC2">
              <w:rPr>
                <w:rFonts w:ascii="Gill Sans MT" w:hAnsi="Gill Sans MT"/>
                <w:sz w:val="16"/>
                <w:szCs w:val="16"/>
                <w:vertAlign w:val="superscript"/>
              </w:rPr>
              <w:t>b</w:t>
            </w:r>
          </w:p>
        </w:tc>
        <w:tc>
          <w:tcPr>
            <w:tcW w:w="652" w:type="pct"/>
            <w:tcBorders>
              <w:top w:val="nil"/>
              <w:left w:val="nil"/>
              <w:bottom w:val="single" w:sz="4" w:space="0" w:color="auto"/>
              <w:right w:val="nil"/>
            </w:tcBorders>
            <w:vAlign w:val="center"/>
          </w:tcPr>
          <w:p w14:paraId="12493CF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0.03±0</w:t>
            </w:r>
            <w:r w:rsidRPr="002C7FC2">
              <w:rPr>
                <w:rFonts w:ascii="Gill Sans MT" w:hAnsi="Gill Sans MT"/>
                <w:sz w:val="16"/>
                <w:szCs w:val="16"/>
                <w:vertAlign w:val="superscript"/>
              </w:rPr>
              <w:t>b</w:t>
            </w:r>
          </w:p>
        </w:tc>
        <w:tc>
          <w:tcPr>
            <w:tcW w:w="624" w:type="pct"/>
            <w:tcBorders>
              <w:top w:val="nil"/>
              <w:left w:val="nil"/>
              <w:bottom w:val="single" w:sz="4" w:space="0" w:color="auto"/>
              <w:right w:val="nil"/>
            </w:tcBorders>
            <w:vAlign w:val="center"/>
          </w:tcPr>
          <w:p w14:paraId="1EB37817"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0.03±0</w:t>
            </w:r>
            <w:r w:rsidRPr="002C7FC2">
              <w:rPr>
                <w:rFonts w:ascii="Gill Sans MT" w:hAnsi="Gill Sans MT"/>
                <w:sz w:val="16"/>
                <w:szCs w:val="16"/>
                <w:vertAlign w:val="superscript"/>
              </w:rPr>
              <w:t>b</w:t>
            </w:r>
          </w:p>
        </w:tc>
        <w:tc>
          <w:tcPr>
            <w:tcW w:w="652" w:type="pct"/>
            <w:tcBorders>
              <w:top w:val="nil"/>
              <w:left w:val="nil"/>
              <w:bottom w:val="single" w:sz="4" w:space="0" w:color="auto"/>
              <w:right w:val="nil"/>
            </w:tcBorders>
            <w:vAlign w:val="center"/>
          </w:tcPr>
          <w:p w14:paraId="6612C6F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0.06±0.01</w:t>
            </w:r>
            <w:r w:rsidRPr="002C7FC2">
              <w:rPr>
                <w:rFonts w:ascii="Gill Sans MT" w:hAnsi="Gill Sans MT"/>
                <w:sz w:val="16"/>
                <w:szCs w:val="16"/>
                <w:vertAlign w:val="superscript"/>
              </w:rPr>
              <w:t>a</w:t>
            </w:r>
          </w:p>
        </w:tc>
        <w:tc>
          <w:tcPr>
            <w:tcW w:w="628" w:type="pct"/>
            <w:tcBorders>
              <w:top w:val="nil"/>
              <w:left w:val="nil"/>
              <w:bottom w:val="single" w:sz="4" w:space="0" w:color="auto"/>
              <w:right w:val="nil"/>
            </w:tcBorders>
            <w:vAlign w:val="center"/>
          </w:tcPr>
          <w:p w14:paraId="7968164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0.04±0</w:t>
            </w:r>
            <w:r w:rsidRPr="002C7FC2">
              <w:rPr>
                <w:rFonts w:ascii="Gill Sans MT" w:hAnsi="Gill Sans MT"/>
                <w:sz w:val="16"/>
                <w:szCs w:val="16"/>
                <w:vertAlign w:val="superscript"/>
              </w:rPr>
              <w:t>ab</w:t>
            </w:r>
          </w:p>
        </w:tc>
        <w:tc>
          <w:tcPr>
            <w:tcW w:w="275" w:type="pct"/>
            <w:tcBorders>
              <w:top w:val="nil"/>
              <w:left w:val="nil"/>
              <w:bottom w:val="single" w:sz="4" w:space="0" w:color="auto"/>
            </w:tcBorders>
            <w:vAlign w:val="center"/>
          </w:tcPr>
          <w:p w14:paraId="292B50C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0.047</w:t>
            </w:r>
          </w:p>
        </w:tc>
      </w:tr>
      <w:tr w:rsidR="0035416C" w:rsidRPr="002C7FC2" w14:paraId="5F440D17" w14:textId="77777777" w:rsidTr="0035416C">
        <w:trPr>
          <w:cantSplit/>
          <w:trHeight w:val="20"/>
        </w:trPr>
        <w:tc>
          <w:tcPr>
            <w:tcW w:w="731" w:type="pct"/>
            <w:vMerge w:val="restart"/>
            <w:tcBorders>
              <w:top w:val="single" w:sz="4" w:space="0" w:color="auto"/>
              <w:right w:val="nil"/>
            </w:tcBorders>
            <w:vAlign w:val="center"/>
          </w:tcPr>
          <w:p w14:paraId="45CB7F7B"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rPr>
              <w:t>Sperm</w:t>
            </w:r>
          </w:p>
        </w:tc>
        <w:tc>
          <w:tcPr>
            <w:tcW w:w="808" w:type="pct"/>
            <w:tcBorders>
              <w:top w:val="single" w:sz="4" w:space="0" w:color="auto"/>
              <w:left w:val="nil"/>
              <w:bottom w:val="nil"/>
              <w:right w:val="nil"/>
            </w:tcBorders>
            <w:vAlign w:val="center"/>
          </w:tcPr>
          <w:p w14:paraId="2AE66BD3"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rPr>
              <w:t xml:space="preserve">SOD (U/mg </w:t>
            </w:r>
            <w:proofErr w:type="spellStart"/>
            <w:r w:rsidRPr="002C7FC2">
              <w:rPr>
                <w:rFonts w:ascii="Gill Sans MT" w:hAnsi="Gill Sans MT"/>
                <w:sz w:val="16"/>
                <w:szCs w:val="16"/>
              </w:rPr>
              <w:t>prot</w:t>
            </w:r>
            <w:proofErr w:type="spellEnd"/>
            <w:r w:rsidRPr="002C7FC2">
              <w:rPr>
                <w:rFonts w:ascii="Gill Sans MT" w:hAnsi="Gill Sans MT"/>
                <w:sz w:val="16"/>
                <w:szCs w:val="16"/>
              </w:rPr>
              <w:t>)</w:t>
            </w:r>
          </w:p>
        </w:tc>
        <w:tc>
          <w:tcPr>
            <w:tcW w:w="628" w:type="pct"/>
            <w:tcBorders>
              <w:top w:val="single" w:sz="4" w:space="0" w:color="auto"/>
              <w:left w:val="nil"/>
              <w:bottom w:val="nil"/>
              <w:right w:val="nil"/>
            </w:tcBorders>
            <w:vAlign w:val="center"/>
          </w:tcPr>
          <w:p w14:paraId="64C344D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47.46±1.05</w:t>
            </w:r>
            <w:r w:rsidRPr="002C7FC2">
              <w:rPr>
                <w:rFonts w:ascii="Gill Sans MT" w:hAnsi="Gill Sans MT"/>
                <w:sz w:val="16"/>
                <w:szCs w:val="16"/>
                <w:vertAlign w:val="superscript"/>
              </w:rPr>
              <w:t>bc</w:t>
            </w:r>
          </w:p>
        </w:tc>
        <w:tc>
          <w:tcPr>
            <w:tcW w:w="652" w:type="pct"/>
            <w:tcBorders>
              <w:top w:val="single" w:sz="4" w:space="0" w:color="auto"/>
              <w:left w:val="nil"/>
              <w:bottom w:val="nil"/>
              <w:right w:val="nil"/>
            </w:tcBorders>
            <w:vAlign w:val="center"/>
          </w:tcPr>
          <w:p w14:paraId="32348EA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39.78±3.14</w:t>
            </w:r>
            <w:r w:rsidRPr="002C7FC2">
              <w:rPr>
                <w:rFonts w:ascii="Gill Sans MT" w:hAnsi="Gill Sans MT"/>
                <w:sz w:val="16"/>
                <w:szCs w:val="16"/>
                <w:vertAlign w:val="superscript"/>
              </w:rPr>
              <w:t>c</w:t>
            </w:r>
          </w:p>
        </w:tc>
        <w:tc>
          <w:tcPr>
            <w:tcW w:w="624" w:type="pct"/>
            <w:tcBorders>
              <w:top w:val="single" w:sz="4" w:space="0" w:color="auto"/>
              <w:left w:val="nil"/>
              <w:bottom w:val="nil"/>
              <w:right w:val="nil"/>
            </w:tcBorders>
            <w:vAlign w:val="center"/>
          </w:tcPr>
          <w:p w14:paraId="2551460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53.24±2.60</w:t>
            </w:r>
            <w:r w:rsidRPr="002C7FC2">
              <w:rPr>
                <w:rFonts w:ascii="Gill Sans MT" w:hAnsi="Gill Sans MT"/>
                <w:sz w:val="16"/>
                <w:szCs w:val="16"/>
                <w:vertAlign w:val="superscript"/>
              </w:rPr>
              <w:t>b</w:t>
            </w:r>
          </w:p>
        </w:tc>
        <w:tc>
          <w:tcPr>
            <w:tcW w:w="652" w:type="pct"/>
            <w:tcBorders>
              <w:top w:val="single" w:sz="4" w:space="0" w:color="auto"/>
              <w:left w:val="nil"/>
              <w:bottom w:val="nil"/>
              <w:right w:val="nil"/>
            </w:tcBorders>
            <w:vAlign w:val="center"/>
          </w:tcPr>
          <w:p w14:paraId="39F85E9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122.24±4.25</w:t>
            </w:r>
            <w:r w:rsidRPr="002C7FC2">
              <w:rPr>
                <w:rFonts w:ascii="Gill Sans MT" w:hAnsi="Gill Sans MT"/>
                <w:sz w:val="16"/>
                <w:szCs w:val="16"/>
                <w:vertAlign w:val="superscript"/>
              </w:rPr>
              <w:t>a</w:t>
            </w:r>
          </w:p>
        </w:tc>
        <w:tc>
          <w:tcPr>
            <w:tcW w:w="628" w:type="pct"/>
            <w:tcBorders>
              <w:top w:val="single" w:sz="4" w:space="0" w:color="auto"/>
              <w:left w:val="nil"/>
              <w:bottom w:val="nil"/>
              <w:right w:val="nil"/>
            </w:tcBorders>
            <w:vAlign w:val="center"/>
          </w:tcPr>
          <w:p w14:paraId="0850F3B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44.46±2.3</w:t>
            </w:r>
            <w:r w:rsidRPr="002C7FC2">
              <w:rPr>
                <w:rFonts w:ascii="Gill Sans MT" w:hAnsi="Gill Sans MT"/>
                <w:sz w:val="16"/>
                <w:szCs w:val="16"/>
                <w:vertAlign w:val="superscript"/>
              </w:rPr>
              <w:t>c</w:t>
            </w:r>
          </w:p>
        </w:tc>
        <w:tc>
          <w:tcPr>
            <w:tcW w:w="275" w:type="pct"/>
            <w:tcBorders>
              <w:top w:val="single" w:sz="4" w:space="0" w:color="auto"/>
              <w:left w:val="nil"/>
            </w:tcBorders>
            <w:vAlign w:val="center"/>
          </w:tcPr>
          <w:p w14:paraId="24A168F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0.001</w:t>
            </w:r>
          </w:p>
        </w:tc>
      </w:tr>
      <w:tr w:rsidR="0035416C" w:rsidRPr="002C7FC2" w14:paraId="54B75FA8" w14:textId="77777777" w:rsidTr="0035416C">
        <w:trPr>
          <w:cantSplit/>
          <w:trHeight w:val="20"/>
        </w:trPr>
        <w:tc>
          <w:tcPr>
            <w:tcW w:w="731" w:type="pct"/>
            <w:vMerge/>
            <w:tcBorders>
              <w:right w:val="nil"/>
            </w:tcBorders>
            <w:vAlign w:val="center"/>
          </w:tcPr>
          <w:p w14:paraId="50B70AE3" w14:textId="77777777" w:rsidR="0035416C" w:rsidRPr="002C7FC2" w:rsidRDefault="0035416C" w:rsidP="00890324">
            <w:pPr>
              <w:adjustRightInd w:val="0"/>
              <w:snapToGrid w:val="0"/>
              <w:rPr>
                <w:rFonts w:ascii="Gill Sans MT" w:hAnsi="Gill Sans MT"/>
                <w:sz w:val="16"/>
                <w:szCs w:val="16"/>
                <w:lang w:bidi="ar"/>
              </w:rPr>
            </w:pPr>
          </w:p>
        </w:tc>
        <w:tc>
          <w:tcPr>
            <w:tcW w:w="808" w:type="pct"/>
            <w:tcBorders>
              <w:top w:val="nil"/>
              <w:left w:val="nil"/>
              <w:bottom w:val="nil"/>
              <w:right w:val="nil"/>
            </w:tcBorders>
            <w:vAlign w:val="center"/>
          </w:tcPr>
          <w:p w14:paraId="19299703"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rPr>
              <w:t xml:space="preserve">MDA </w:t>
            </w:r>
            <w:r w:rsidRPr="002C7FC2">
              <w:rPr>
                <w:rFonts w:ascii="Gill Sans MT" w:hAnsi="Gill Sans MT"/>
                <w:sz w:val="16"/>
                <w:szCs w:val="16"/>
                <w:lang w:bidi="ar"/>
              </w:rPr>
              <w:t>(</w:t>
            </w:r>
            <w:proofErr w:type="spellStart"/>
            <w:r w:rsidRPr="002C7FC2">
              <w:rPr>
                <w:rFonts w:ascii="Gill Sans MT" w:hAnsi="Gill Sans MT"/>
                <w:sz w:val="16"/>
                <w:szCs w:val="16"/>
                <w:lang w:bidi="ar"/>
              </w:rPr>
              <w:t>nmol</w:t>
            </w:r>
            <w:proofErr w:type="spellEnd"/>
            <w:r w:rsidRPr="002C7FC2">
              <w:rPr>
                <w:rFonts w:ascii="Gill Sans MT" w:hAnsi="Gill Sans MT"/>
                <w:sz w:val="16"/>
                <w:szCs w:val="16"/>
                <w:lang w:bidi="ar"/>
              </w:rPr>
              <w:t>/</w:t>
            </w:r>
            <w:proofErr w:type="spellStart"/>
            <w:r w:rsidRPr="002C7FC2">
              <w:rPr>
                <w:rFonts w:ascii="Gill Sans MT" w:hAnsi="Gill Sans MT"/>
                <w:sz w:val="16"/>
                <w:szCs w:val="16"/>
                <w:lang w:bidi="ar"/>
              </w:rPr>
              <w:t>mgprot</w:t>
            </w:r>
            <w:proofErr w:type="spellEnd"/>
            <w:r w:rsidRPr="002C7FC2">
              <w:rPr>
                <w:rFonts w:ascii="Gill Sans MT" w:hAnsi="Gill Sans MT"/>
                <w:sz w:val="16"/>
                <w:szCs w:val="16"/>
                <w:lang w:bidi="ar"/>
              </w:rPr>
              <w:t>)</w:t>
            </w:r>
          </w:p>
        </w:tc>
        <w:tc>
          <w:tcPr>
            <w:tcW w:w="628" w:type="pct"/>
            <w:tcBorders>
              <w:top w:val="nil"/>
              <w:left w:val="nil"/>
              <w:bottom w:val="nil"/>
              <w:right w:val="nil"/>
            </w:tcBorders>
            <w:vAlign w:val="center"/>
          </w:tcPr>
          <w:p w14:paraId="6B92FAD2"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14.80±0.96</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00AD34F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12.40±1.40</w:t>
            </w:r>
            <w:r w:rsidRPr="002C7FC2">
              <w:rPr>
                <w:rFonts w:ascii="Gill Sans MT" w:hAnsi="Gill Sans MT"/>
                <w:sz w:val="16"/>
                <w:szCs w:val="16"/>
                <w:vertAlign w:val="superscript"/>
              </w:rPr>
              <w:t>a</w:t>
            </w:r>
          </w:p>
        </w:tc>
        <w:tc>
          <w:tcPr>
            <w:tcW w:w="624" w:type="pct"/>
            <w:tcBorders>
              <w:top w:val="nil"/>
              <w:left w:val="nil"/>
              <w:bottom w:val="nil"/>
              <w:right w:val="nil"/>
            </w:tcBorders>
            <w:vAlign w:val="center"/>
          </w:tcPr>
          <w:p w14:paraId="0FD69A91"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13.27±1.24</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36F4592F"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5.58±1.17</w:t>
            </w:r>
            <w:r w:rsidRPr="002C7FC2">
              <w:rPr>
                <w:rFonts w:ascii="Gill Sans MT" w:hAnsi="Gill Sans MT"/>
                <w:sz w:val="16"/>
                <w:szCs w:val="16"/>
                <w:vertAlign w:val="superscript"/>
              </w:rPr>
              <w:t>b</w:t>
            </w:r>
          </w:p>
        </w:tc>
        <w:tc>
          <w:tcPr>
            <w:tcW w:w="628" w:type="pct"/>
            <w:tcBorders>
              <w:top w:val="nil"/>
              <w:left w:val="nil"/>
              <w:bottom w:val="nil"/>
              <w:right w:val="nil"/>
            </w:tcBorders>
            <w:vAlign w:val="center"/>
          </w:tcPr>
          <w:p w14:paraId="570E415E"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15.92±1.55</w:t>
            </w:r>
            <w:r w:rsidRPr="002C7FC2">
              <w:rPr>
                <w:rFonts w:ascii="Gill Sans MT" w:hAnsi="Gill Sans MT"/>
                <w:sz w:val="16"/>
                <w:szCs w:val="16"/>
                <w:vertAlign w:val="superscript"/>
              </w:rPr>
              <w:t>a</w:t>
            </w:r>
          </w:p>
        </w:tc>
        <w:tc>
          <w:tcPr>
            <w:tcW w:w="275" w:type="pct"/>
            <w:tcBorders>
              <w:left w:val="nil"/>
            </w:tcBorders>
            <w:vAlign w:val="center"/>
          </w:tcPr>
          <w:p w14:paraId="58EE9AD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0.001</w:t>
            </w:r>
          </w:p>
        </w:tc>
      </w:tr>
      <w:tr w:rsidR="0035416C" w:rsidRPr="002C7FC2" w14:paraId="19E901A3" w14:textId="77777777" w:rsidTr="0035416C">
        <w:trPr>
          <w:cantSplit/>
          <w:trHeight w:val="20"/>
        </w:trPr>
        <w:tc>
          <w:tcPr>
            <w:tcW w:w="731" w:type="pct"/>
            <w:vMerge/>
            <w:tcBorders>
              <w:right w:val="nil"/>
            </w:tcBorders>
            <w:vAlign w:val="center"/>
          </w:tcPr>
          <w:p w14:paraId="19DD8E4B" w14:textId="77777777" w:rsidR="0035416C" w:rsidRPr="002C7FC2" w:rsidRDefault="0035416C" w:rsidP="00890324">
            <w:pPr>
              <w:adjustRightInd w:val="0"/>
              <w:snapToGrid w:val="0"/>
              <w:rPr>
                <w:rFonts w:ascii="Gill Sans MT" w:hAnsi="Gill Sans MT"/>
                <w:sz w:val="16"/>
                <w:szCs w:val="16"/>
                <w:lang w:bidi="ar"/>
              </w:rPr>
            </w:pPr>
          </w:p>
        </w:tc>
        <w:tc>
          <w:tcPr>
            <w:tcW w:w="808" w:type="pct"/>
            <w:tcBorders>
              <w:top w:val="nil"/>
              <w:left w:val="nil"/>
              <w:bottom w:val="nil"/>
              <w:right w:val="nil"/>
            </w:tcBorders>
            <w:vAlign w:val="center"/>
          </w:tcPr>
          <w:p w14:paraId="63A89A0D"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rPr>
              <w:t>T-AOC (mM)</w:t>
            </w:r>
          </w:p>
        </w:tc>
        <w:tc>
          <w:tcPr>
            <w:tcW w:w="628" w:type="pct"/>
            <w:tcBorders>
              <w:top w:val="nil"/>
              <w:left w:val="nil"/>
              <w:bottom w:val="nil"/>
              <w:right w:val="nil"/>
            </w:tcBorders>
            <w:vAlign w:val="center"/>
          </w:tcPr>
          <w:p w14:paraId="562AD783"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14.69±1.33</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449AA0EB"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29.63±3.80</w:t>
            </w:r>
            <w:r w:rsidRPr="002C7FC2">
              <w:rPr>
                <w:rFonts w:ascii="Gill Sans MT" w:hAnsi="Gill Sans MT"/>
                <w:sz w:val="16"/>
                <w:szCs w:val="16"/>
                <w:vertAlign w:val="superscript"/>
              </w:rPr>
              <w:t>a</w:t>
            </w:r>
          </w:p>
        </w:tc>
        <w:tc>
          <w:tcPr>
            <w:tcW w:w="624" w:type="pct"/>
            <w:tcBorders>
              <w:top w:val="nil"/>
              <w:left w:val="nil"/>
              <w:bottom w:val="nil"/>
              <w:right w:val="nil"/>
            </w:tcBorders>
            <w:vAlign w:val="center"/>
          </w:tcPr>
          <w:p w14:paraId="7B1C3986"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31.87±3.17</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04D7C7F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29.94±2.05</w:t>
            </w:r>
            <w:r w:rsidRPr="002C7FC2">
              <w:rPr>
                <w:rFonts w:ascii="Gill Sans MT" w:hAnsi="Gill Sans MT"/>
                <w:sz w:val="16"/>
                <w:szCs w:val="16"/>
                <w:vertAlign w:val="superscript"/>
              </w:rPr>
              <w:t>a</w:t>
            </w:r>
          </w:p>
        </w:tc>
        <w:tc>
          <w:tcPr>
            <w:tcW w:w="628" w:type="pct"/>
            <w:tcBorders>
              <w:top w:val="nil"/>
              <w:left w:val="nil"/>
              <w:bottom w:val="nil"/>
              <w:right w:val="nil"/>
            </w:tcBorders>
            <w:vAlign w:val="center"/>
          </w:tcPr>
          <w:p w14:paraId="651DF83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30.62±2.18</w:t>
            </w:r>
            <w:r w:rsidRPr="002C7FC2">
              <w:rPr>
                <w:rFonts w:ascii="Gill Sans MT" w:hAnsi="Gill Sans MT"/>
                <w:sz w:val="16"/>
                <w:szCs w:val="16"/>
                <w:vertAlign w:val="superscript"/>
              </w:rPr>
              <w:t>a</w:t>
            </w:r>
          </w:p>
        </w:tc>
        <w:tc>
          <w:tcPr>
            <w:tcW w:w="275" w:type="pct"/>
            <w:tcBorders>
              <w:left w:val="nil"/>
            </w:tcBorders>
            <w:vAlign w:val="center"/>
          </w:tcPr>
          <w:p w14:paraId="49C8080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0.016</w:t>
            </w:r>
          </w:p>
        </w:tc>
      </w:tr>
      <w:tr w:rsidR="0035416C" w:rsidRPr="002C7FC2" w14:paraId="46980999" w14:textId="77777777" w:rsidTr="0035416C">
        <w:trPr>
          <w:cantSplit/>
          <w:trHeight w:val="20"/>
        </w:trPr>
        <w:tc>
          <w:tcPr>
            <w:tcW w:w="731" w:type="pct"/>
            <w:vMerge/>
            <w:tcBorders>
              <w:right w:val="nil"/>
            </w:tcBorders>
            <w:vAlign w:val="center"/>
          </w:tcPr>
          <w:p w14:paraId="1AF07ED1" w14:textId="77777777" w:rsidR="0035416C" w:rsidRPr="002C7FC2" w:rsidRDefault="0035416C" w:rsidP="00890324">
            <w:pPr>
              <w:adjustRightInd w:val="0"/>
              <w:snapToGrid w:val="0"/>
              <w:rPr>
                <w:rFonts w:ascii="Gill Sans MT" w:hAnsi="Gill Sans MT"/>
                <w:sz w:val="16"/>
                <w:szCs w:val="16"/>
                <w:lang w:bidi="ar"/>
              </w:rPr>
            </w:pPr>
          </w:p>
        </w:tc>
        <w:tc>
          <w:tcPr>
            <w:tcW w:w="808" w:type="pct"/>
            <w:tcBorders>
              <w:top w:val="nil"/>
              <w:left w:val="nil"/>
              <w:bottom w:val="nil"/>
              <w:right w:val="nil"/>
            </w:tcBorders>
            <w:vAlign w:val="center"/>
          </w:tcPr>
          <w:p w14:paraId="173DDF09"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rPr>
              <w:t xml:space="preserve">CAT (U/mg </w:t>
            </w:r>
            <w:proofErr w:type="spellStart"/>
            <w:r w:rsidRPr="002C7FC2">
              <w:rPr>
                <w:rFonts w:ascii="Gill Sans MT" w:hAnsi="Gill Sans MT"/>
                <w:sz w:val="16"/>
                <w:szCs w:val="16"/>
              </w:rPr>
              <w:t>prot</w:t>
            </w:r>
            <w:proofErr w:type="spellEnd"/>
            <w:r w:rsidRPr="002C7FC2">
              <w:rPr>
                <w:rFonts w:ascii="Gill Sans MT" w:hAnsi="Gill Sans MT"/>
                <w:sz w:val="16"/>
                <w:szCs w:val="16"/>
              </w:rPr>
              <w:t>)</w:t>
            </w:r>
          </w:p>
        </w:tc>
        <w:tc>
          <w:tcPr>
            <w:tcW w:w="628" w:type="pct"/>
            <w:tcBorders>
              <w:top w:val="nil"/>
              <w:left w:val="nil"/>
              <w:bottom w:val="nil"/>
              <w:right w:val="nil"/>
            </w:tcBorders>
            <w:vAlign w:val="center"/>
          </w:tcPr>
          <w:p w14:paraId="3BA21E3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124.81±5.25</w:t>
            </w:r>
            <w:r w:rsidRPr="002C7FC2">
              <w:rPr>
                <w:rFonts w:ascii="Gill Sans MT" w:hAnsi="Gill Sans MT"/>
                <w:sz w:val="16"/>
                <w:szCs w:val="16"/>
                <w:vertAlign w:val="superscript"/>
              </w:rPr>
              <w:t>c</w:t>
            </w:r>
          </w:p>
        </w:tc>
        <w:tc>
          <w:tcPr>
            <w:tcW w:w="652" w:type="pct"/>
            <w:tcBorders>
              <w:top w:val="nil"/>
              <w:left w:val="nil"/>
              <w:bottom w:val="nil"/>
              <w:right w:val="nil"/>
            </w:tcBorders>
            <w:vAlign w:val="center"/>
          </w:tcPr>
          <w:p w14:paraId="556DAB1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105.18±8.57</w:t>
            </w:r>
            <w:r w:rsidRPr="002C7FC2">
              <w:rPr>
                <w:rFonts w:ascii="Gill Sans MT" w:hAnsi="Gill Sans MT"/>
                <w:sz w:val="16"/>
                <w:szCs w:val="16"/>
                <w:vertAlign w:val="superscript"/>
              </w:rPr>
              <w:t>c</w:t>
            </w:r>
          </w:p>
        </w:tc>
        <w:tc>
          <w:tcPr>
            <w:tcW w:w="624" w:type="pct"/>
            <w:tcBorders>
              <w:top w:val="nil"/>
              <w:left w:val="nil"/>
              <w:bottom w:val="nil"/>
              <w:right w:val="nil"/>
            </w:tcBorders>
            <w:vAlign w:val="center"/>
          </w:tcPr>
          <w:p w14:paraId="6B49C1B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179.90±10.69</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079A3978"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362.72±14.84</w:t>
            </w:r>
            <w:r w:rsidRPr="002C7FC2">
              <w:rPr>
                <w:rFonts w:ascii="Gill Sans MT" w:hAnsi="Gill Sans MT"/>
                <w:sz w:val="16"/>
                <w:szCs w:val="16"/>
                <w:vertAlign w:val="superscript"/>
              </w:rPr>
              <w:t>a</w:t>
            </w:r>
          </w:p>
        </w:tc>
        <w:tc>
          <w:tcPr>
            <w:tcW w:w="628" w:type="pct"/>
            <w:tcBorders>
              <w:top w:val="nil"/>
              <w:left w:val="nil"/>
              <w:bottom w:val="nil"/>
              <w:right w:val="nil"/>
            </w:tcBorders>
            <w:vAlign w:val="center"/>
          </w:tcPr>
          <w:p w14:paraId="429B60E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133.31±14.58</w:t>
            </w:r>
            <w:r w:rsidRPr="002C7FC2">
              <w:rPr>
                <w:rFonts w:ascii="Gill Sans MT" w:hAnsi="Gill Sans MT"/>
                <w:sz w:val="16"/>
                <w:szCs w:val="16"/>
                <w:vertAlign w:val="superscript"/>
              </w:rPr>
              <w:t>c</w:t>
            </w:r>
          </w:p>
        </w:tc>
        <w:tc>
          <w:tcPr>
            <w:tcW w:w="275" w:type="pct"/>
            <w:tcBorders>
              <w:left w:val="nil"/>
            </w:tcBorders>
            <w:vAlign w:val="center"/>
          </w:tcPr>
          <w:p w14:paraId="5DE21DA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0.001</w:t>
            </w:r>
          </w:p>
        </w:tc>
      </w:tr>
      <w:tr w:rsidR="0035416C" w:rsidRPr="002C7FC2" w14:paraId="7646A8B3" w14:textId="77777777" w:rsidTr="0035416C">
        <w:trPr>
          <w:cantSplit/>
          <w:trHeight w:val="20"/>
        </w:trPr>
        <w:tc>
          <w:tcPr>
            <w:tcW w:w="731" w:type="pct"/>
            <w:vMerge/>
            <w:tcBorders>
              <w:right w:val="nil"/>
            </w:tcBorders>
            <w:vAlign w:val="center"/>
          </w:tcPr>
          <w:p w14:paraId="51B5176F" w14:textId="77777777" w:rsidR="0035416C" w:rsidRPr="002C7FC2" w:rsidRDefault="0035416C" w:rsidP="00890324">
            <w:pPr>
              <w:adjustRightInd w:val="0"/>
              <w:snapToGrid w:val="0"/>
              <w:rPr>
                <w:rFonts w:ascii="Gill Sans MT" w:hAnsi="Gill Sans MT"/>
                <w:sz w:val="16"/>
                <w:szCs w:val="16"/>
                <w:lang w:bidi="ar"/>
              </w:rPr>
            </w:pPr>
          </w:p>
        </w:tc>
        <w:tc>
          <w:tcPr>
            <w:tcW w:w="808" w:type="pct"/>
            <w:tcBorders>
              <w:top w:val="nil"/>
              <w:left w:val="nil"/>
              <w:bottom w:val="nil"/>
              <w:right w:val="nil"/>
            </w:tcBorders>
            <w:vAlign w:val="center"/>
          </w:tcPr>
          <w:p w14:paraId="2B50E9E6" w14:textId="77777777" w:rsidR="0035416C" w:rsidRPr="002C7FC2" w:rsidRDefault="0035416C" w:rsidP="00890324">
            <w:pPr>
              <w:adjustRightInd w:val="0"/>
              <w:snapToGrid w:val="0"/>
              <w:rPr>
                <w:rFonts w:ascii="Gill Sans MT" w:hAnsi="Gill Sans MT"/>
                <w:sz w:val="16"/>
                <w:szCs w:val="16"/>
                <w:lang w:val="sv-SE" w:bidi="ar"/>
              </w:rPr>
            </w:pPr>
            <w:r w:rsidRPr="002C7FC2">
              <w:rPr>
                <w:rFonts w:ascii="Gill Sans MT" w:hAnsi="Gill Sans MT"/>
                <w:sz w:val="16"/>
                <w:szCs w:val="16"/>
                <w:lang w:val="sv-SE"/>
              </w:rPr>
              <w:t>GSH-Px (U/mg prot)</w:t>
            </w:r>
          </w:p>
        </w:tc>
        <w:tc>
          <w:tcPr>
            <w:tcW w:w="628" w:type="pct"/>
            <w:tcBorders>
              <w:top w:val="nil"/>
              <w:left w:val="nil"/>
              <w:bottom w:val="nil"/>
              <w:right w:val="nil"/>
            </w:tcBorders>
            <w:vAlign w:val="center"/>
          </w:tcPr>
          <w:p w14:paraId="5A29D79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2041.21±239.94</w:t>
            </w:r>
            <w:r w:rsidRPr="002C7FC2">
              <w:rPr>
                <w:rFonts w:ascii="Gill Sans MT" w:hAnsi="Gill Sans MT"/>
                <w:sz w:val="16"/>
                <w:szCs w:val="16"/>
                <w:vertAlign w:val="superscript"/>
              </w:rPr>
              <w:t>b</w:t>
            </w:r>
          </w:p>
        </w:tc>
        <w:tc>
          <w:tcPr>
            <w:tcW w:w="652" w:type="pct"/>
            <w:tcBorders>
              <w:top w:val="nil"/>
              <w:left w:val="nil"/>
              <w:bottom w:val="nil"/>
              <w:right w:val="nil"/>
            </w:tcBorders>
            <w:vAlign w:val="center"/>
          </w:tcPr>
          <w:p w14:paraId="1240E785"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3061.83±240.05</w:t>
            </w:r>
            <w:r w:rsidRPr="002C7FC2">
              <w:rPr>
                <w:rFonts w:ascii="Gill Sans MT" w:hAnsi="Gill Sans MT"/>
                <w:sz w:val="16"/>
                <w:szCs w:val="16"/>
                <w:vertAlign w:val="superscript"/>
              </w:rPr>
              <w:t>ab</w:t>
            </w:r>
          </w:p>
        </w:tc>
        <w:tc>
          <w:tcPr>
            <w:tcW w:w="624" w:type="pct"/>
            <w:tcBorders>
              <w:top w:val="nil"/>
              <w:left w:val="nil"/>
              <w:bottom w:val="nil"/>
              <w:right w:val="nil"/>
            </w:tcBorders>
            <w:vAlign w:val="center"/>
          </w:tcPr>
          <w:p w14:paraId="5EFE921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4020.18±542.58</w:t>
            </w:r>
            <w:r w:rsidRPr="002C7FC2">
              <w:rPr>
                <w:rFonts w:ascii="Gill Sans MT" w:hAnsi="Gill Sans MT"/>
                <w:sz w:val="16"/>
                <w:szCs w:val="16"/>
                <w:vertAlign w:val="superscript"/>
              </w:rPr>
              <w:t>a</w:t>
            </w:r>
          </w:p>
        </w:tc>
        <w:tc>
          <w:tcPr>
            <w:tcW w:w="652" w:type="pct"/>
            <w:tcBorders>
              <w:top w:val="nil"/>
              <w:left w:val="nil"/>
              <w:bottom w:val="nil"/>
              <w:right w:val="nil"/>
            </w:tcBorders>
            <w:vAlign w:val="center"/>
          </w:tcPr>
          <w:p w14:paraId="6738303C"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3118.07±228.15</w:t>
            </w:r>
            <w:r w:rsidRPr="002C7FC2">
              <w:rPr>
                <w:rFonts w:ascii="Gill Sans MT" w:hAnsi="Gill Sans MT"/>
                <w:sz w:val="16"/>
                <w:szCs w:val="16"/>
                <w:vertAlign w:val="superscript"/>
              </w:rPr>
              <w:t>ab</w:t>
            </w:r>
          </w:p>
        </w:tc>
        <w:tc>
          <w:tcPr>
            <w:tcW w:w="628" w:type="pct"/>
            <w:tcBorders>
              <w:top w:val="nil"/>
              <w:left w:val="nil"/>
              <w:bottom w:val="nil"/>
              <w:right w:val="nil"/>
            </w:tcBorders>
            <w:vAlign w:val="center"/>
          </w:tcPr>
          <w:p w14:paraId="719F557F"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2626.08±379.88</w:t>
            </w:r>
            <w:r w:rsidRPr="002C7FC2">
              <w:rPr>
                <w:rFonts w:ascii="Gill Sans MT" w:hAnsi="Gill Sans MT"/>
                <w:sz w:val="16"/>
                <w:szCs w:val="16"/>
                <w:vertAlign w:val="superscript"/>
              </w:rPr>
              <w:t>b</w:t>
            </w:r>
          </w:p>
        </w:tc>
        <w:tc>
          <w:tcPr>
            <w:tcW w:w="275" w:type="pct"/>
            <w:tcBorders>
              <w:left w:val="nil"/>
            </w:tcBorders>
            <w:vAlign w:val="center"/>
          </w:tcPr>
          <w:p w14:paraId="089FD1F7"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0.011</w:t>
            </w:r>
          </w:p>
        </w:tc>
      </w:tr>
      <w:tr w:rsidR="0035416C" w:rsidRPr="002C7FC2" w14:paraId="6767184B" w14:textId="77777777" w:rsidTr="0035416C">
        <w:trPr>
          <w:cantSplit/>
          <w:trHeight w:val="20"/>
        </w:trPr>
        <w:tc>
          <w:tcPr>
            <w:tcW w:w="731" w:type="pct"/>
            <w:vMerge/>
            <w:tcBorders>
              <w:bottom w:val="single" w:sz="4" w:space="0" w:color="auto"/>
              <w:right w:val="nil"/>
            </w:tcBorders>
            <w:vAlign w:val="center"/>
          </w:tcPr>
          <w:p w14:paraId="0FC2CF2B" w14:textId="77777777" w:rsidR="0035416C" w:rsidRPr="002C7FC2" w:rsidRDefault="0035416C" w:rsidP="00890324">
            <w:pPr>
              <w:adjustRightInd w:val="0"/>
              <w:snapToGrid w:val="0"/>
              <w:rPr>
                <w:rFonts w:ascii="Gill Sans MT" w:hAnsi="Gill Sans MT"/>
                <w:sz w:val="16"/>
                <w:szCs w:val="16"/>
                <w:lang w:bidi="ar"/>
              </w:rPr>
            </w:pPr>
          </w:p>
        </w:tc>
        <w:tc>
          <w:tcPr>
            <w:tcW w:w="808" w:type="pct"/>
            <w:tcBorders>
              <w:top w:val="nil"/>
              <w:left w:val="nil"/>
              <w:bottom w:val="single" w:sz="4" w:space="0" w:color="auto"/>
              <w:right w:val="nil"/>
            </w:tcBorders>
            <w:vAlign w:val="center"/>
          </w:tcPr>
          <w:p w14:paraId="3F926D14" w14:textId="77777777" w:rsidR="0035416C" w:rsidRPr="002C7FC2" w:rsidRDefault="0035416C" w:rsidP="00890324">
            <w:pPr>
              <w:adjustRightInd w:val="0"/>
              <w:snapToGrid w:val="0"/>
              <w:rPr>
                <w:rFonts w:ascii="Gill Sans MT" w:hAnsi="Gill Sans MT"/>
                <w:sz w:val="16"/>
                <w:szCs w:val="16"/>
                <w:lang w:bidi="ar"/>
              </w:rPr>
            </w:pPr>
            <w:r w:rsidRPr="002C7FC2">
              <w:rPr>
                <w:rFonts w:ascii="Gill Sans MT" w:hAnsi="Gill Sans MT"/>
                <w:sz w:val="16"/>
                <w:szCs w:val="16"/>
              </w:rPr>
              <w:t>ROS</w:t>
            </w:r>
          </w:p>
        </w:tc>
        <w:tc>
          <w:tcPr>
            <w:tcW w:w="628" w:type="pct"/>
            <w:tcBorders>
              <w:top w:val="nil"/>
              <w:left w:val="nil"/>
              <w:bottom w:val="single" w:sz="4" w:space="0" w:color="auto"/>
              <w:right w:val="nil"/>
            </w:tcBorders>
            <w:vAlign w:val="center"/>
          </w:tcPr>
          <w:p w14:paraId="6F6F648A"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0.26±0.03</w:t>
            </w:r>
            <w:r w:rsidRPr="002C7FC2">
              <w:rPr>
                <w:rFonts w:ascii="Gill Sans MT" w:hAnsi="Gill Sans MT"/>
                <w:sz w:val="16"/>
                <w:szCs w:val="16"/>
                <w:vertAlign w:val="superscript"/>
              </w:rPr>
              <w:t>a</w:t>
            </w:r>
          </w:p>
        </w:tc>
        <w:tc>
          <w:tcPr>
            <w:tcW w:w="652" w:type="pct"/>
            <w:tcBorders>
              <w:top w:val="nil"/>
              <w:left w:val="nil"/>
              <w:bottom w:val="single" w:sz="4" w:space="0" w:color="auto"/>
              <w:right w:val="nil"/>
            </w:tcBorders>
            <w:vAlign w:val="center"/>
          </w:tcPr>
          <w:p w14:paraId="1F70FEE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0.18±0.02</w:t>
            </w:r>
            <w:r w:rsidRPr="002C7FC2">
              <w:rPr>
                <w:rFonts w:ascii="Gill Sans MT" w:hAnsi="Gill Sans MT"/>
                <w:sz w:val="16"/>
                <w:szCs w:val="16"/>
                <w:vertAlign w:val="superscript"/>
              </w:rPr>
              <w:t>b</w:t>
            </w:r>
          </w:p>
        </w:tc>
        <w:tc>
          <w:tcPr>
            <w:tcW w:w="624" w:type="pct"/>
            <w:tcBorders>
              <w:top w:val="nil"/>
              <w:left w:val="nil"/>
              <w:bottom w:val="single" w:sz="4" w:space="0" w:color="auto"/>
              <w:right w:val="nil"/>
            </w:tcBorders>
            <w:vAlign w:val="center"/>
          </w:tcPr>
          <w:p w14:paraId="4CEF34F0"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0.18±0.02</w:t>
            </w:r>
            <w:r w:rsidRPr="002C7FC2">
              <w:rPr>
                <w:rFonts w:ascii="Gill Sans MT" w:hAnsi="Gill Sans MT"/>
                <w:sz w:val="16"/>
                <w:szCs w:val="16"/>
                <w:vertAlign w:val="superscript"/>
              </w:rPr>
              <w:t>b</w:t>
            </w:r>
          </w:p>
        </w:tc>
        <w:tc>
          <w:tcPr>
            <w:tcW w:w="652" w:type="pct"/>
            <w:tcBorders>
              <w:top w:val="nil"/>
              <w:left w:val="nil"/>
              <w:bottom w:val="single" w:sz="4" w:space="0" w:color="auto"/>
              <w:right w:val="nil"/>
            </w:tcBorders>
            <w:vAlign w:val="center"/>
          </w:tcPr>
          <w:p w14:paraId="0FCEB94D"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0.18±0.01</w:t>
            </w:r>
            <w:r w:rsidRPr="002C7FC2">
              <w:rPr>
                <w:rFonts w:ascii="Gill Sans MT" w:hAnsi="Gill Sans MT"/>
                <w:sz w:val="16"/>
                <w:szCs w:val="16"/>
                <w:vertAlign w:val="superscript"/>
              </w:rPr>
              <w:t>b</w:t>
            </w:r>
          </w:p>
        </w:tc>
        <w:tc>
          <w:tcPr>
            <w:tcW w:w="628" w:type="pct"/>
            <w:tcBorders>
              <w:top w:val="nil"/>
              <w:left w:val="nil"/>
              <w:bottom w:val="single" w:sz="4" w:space="0" w:color="auto"/>
              <w:right w:val="nil"/>
            </w:tcBorders>
            <w:vAlign w:val="center"/>
          </w:tcPr>
          <w:p w14:paraId="08A777D9"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0.18±0.018</w:t>
            </w:r>
            <w:r w:rsidRPr="002C7FC2">
              <w:rPr>
                <w:rFonts w:ascii="Gill Sans MT" w:hAnsi="Gill Sans MT"/>
                <w:sz w:val="16"/>
                <w:szCs w:val="16"/>
                <w:vertAlign w:val="superscript"/>
              </w:rPr>
              <w:t>b</w:t>
            </w:r>
          </w:p>
        </w:tc>
        <w:tc>
          <w:tcPr>
            <w:tcW w:w="275" w:type="pct"/>
            <w:tcBorders>
              <w:left w:val="nil"/>
              <w:bottom w:val="single" w:sz="4" w:space="0" w:color="auto"/>
            </w:tcBorders>
            <w:vAlign w:val="center"/>
          </w:tcPr>
          <w:p w14:paraId="1BAD6E24" w14:textId="77777777" w:rsidR="0035416C" w:rsidRPr="002C7FC2" w:rsidRDefault="0035416C" w:rsidP="00890324">
            <w:pPr>
              <w:adjustRightInd w:val="0"/>
              <w:snapToGrid w:val="0"/>
              <w:rPr>
                <w:rFonts w:ascii="Gill Sans MT" w:hAnsi="Gill Sans MT"/>
                <w:sz w:val="16"/>
                <w:szCs w:val="16"/>
              </w:rPr>
            </w:pPr>
            <w:r w:rsidRPr="002C7FC2">
              <w:rPr>
                <w:rFonts w:ascii="Gill Sans MT" w:hAnsi="Gill Sans MT"/>
                <w:sz w:val="16"/>
                <w:szCs w:val="16"/>
              </w:rPr>
              <w:t>0.047</w:t>
            </w:r>
          </w:p>
        </w:tc>
      </w:tr>
    </w:tbl>
    <w:p w14:paraId="791BDE71" w14:textId="77777777" w:rsidR="0035416C" w:rsidRDefault="0035416C" w:rsidP="0035416C">
      <w:pPr>
        <w:adjustRightInd w:val="0"/>
        <w:snapToGrid w:val="0"/>
        <w:rPr>
          <w:rFonts w:ascii="Gill Sans MT" w:hAnsi="Gill Sans MT"/>
          <w:sz w:val="16"/>
          <w:szCs w:val="16"/>
        </w:rPr>
      </w:pPr>
      <w:r w:rsidRPr="002C7FC2">
        <w:rPr>
          <w:rFonts w:ascii="Gill Sans MT" w:hAnsi="Gill Sans MT"/>
          <w:sz w:val="16"/>
          <w:szCs w:val="16"/>
        </w:rPr>
        <w:t>Values with different superscripts within the same row differ significantly from one another (P&lt;0.05).</w:t>
      </w:r>
    </w:p>
    <w:p w14:paraId="306B4B6D" w14:textId="77777777" w:rsidR="0035416C" w:rsidRPr="0035416C" w:rsidRDefault="0035416C" w:rsidP="0035416C">
      <w:pPr>
        <w:adjustRightInd w:val="0"/>
        <w:snapToGrid w:val="0"/>
        <w:rPr>
          <w:rFonts w:ascii="Gill Sans MT" w:hAnsi="Gill Sans MT"/>
          <w:b/>
          <w:bCs/>
          <w:sz w:val="20"/>
          <w:szCs w:val="20"/>
        </w:rPr>
      </w:pPr>
    </w:p>
    <w:p w14:paraId="3D319627" w14:textId="1C4F7C96" w:rsidR="0035416C" w:rsidRPr="002C7FC2" w:rsidRDefault="0035416C" w:rsidP="0035416C">
      <w:pPr>
        <w:adjustRightInd w:val="0"/>
        <w:snapToGrid w:val="0"/>
        <w:rPr>
          <w:rFonts w:ascii="Gill Sans MT" w:hAnsi="Gill Sans MT"/>
          <w:sz w:val="16"/>
          <w:szCs w:val="16"/>
        </w:rPr>
      </w:pPr>
      <w:r w:rsidRPr="002C7FC2">
        <w:rPr>
          <w:rFonts w:ascii="Gill Sans MT" w:hAnsi="Gill Sans MT"/>
          <w:b/>
          <w:bCs/>
          <w:sz w:val="16"/>
          <w:szCs w:val="16"/>
        </w:rPr>
        <w:t xml:space="preserve">Table 6: </w:t>
      </w:r>
      <w:r w:rsidRPr="002C7FC2">
        <w:rPr>
          <w:rFonts w:ascii="Gill Sans MT" w:hAnsi="Gill Sans MT"/>
          <w:sz w:val="16"/>
          <w:szCs w:val="16"/>
        </w:rPr>
        <w:t>Effects of diets supplemented with different doses of LC on sperm motility kinetics in post-thaw semen</w:t>
      </w:r>
    </w:p>
    <w:tbl>
      <w:tblPr>
        <w:tblStyle w:val="TableGrid"/>
        <w:tblW w:w="5000" w:type="pct"/>
        <w:jc w:val="center"/>
        <w:tblLook w:val="04A0" w:firstRow="1" w:lastRow="0" w:firstColumn="1" w:lastColumn="0" w:noHBand="0" w:noVBand="1"/>
      </w:tblPr>
      <w:tblGrid>
        <w:gridCol w:w="2436"/>
        <w:gridCol w:w="2435"/>
        <w:gridCol w:w="2443"/>
        <w:gridCol w:w="2435"/>
      </w:tblGrid>
      <w:tr w:rsidR="0035416C" w:rsidRPr="002C7FC2" w14:paraId="3C52B865" w14:textId="77777777" w:rsidTr="0035416C">
        <w:trPr>
          <w:jc w:val="center"/>
        </w:trPr>
        <w:tc>
          <w:tcPr>
            <w:tcW w:w="1249" w:type="pct"/>
            <w:vMerge w:val="restart"/>
            <w:tcBorders>
              <w:left w:val="nil"/>
              <w:right w:val="nil"/>
            </w:tcBorders>
            <w:vAlign w:val="center"/>
          </w:tcPr>
          <w:p w14:paraId="325A2ECF"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Parameter</w:t>
            </w:r>
          </w:p>
        </w:tc>
        <w:tc>
          <w:tcPr>
            <w:tcW w:w="2502" w:type="pct"/>
            <w:gridSpan w:val="2"/>
            <w:tcBorders>
              <w:left w:val="nil"/>
              <w:right w:val="nil"/>
            </w:tcBorders>
            <w:vAlign w:val="center"/>
          </w:tcPr>
          <w:p w14:paraId="48C29078"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Treatments</w:t>
            </w:r>
          </w:p>
        </w:tc>
        <w:tc>
          <w:tcPr>
            <w:tcW w:w="1249" w:type="pct"/>
            <w:vMerge w:val="restart"/>
            <w:tcBorders>
              <w:left w:val="nil"/>
              <w:right w:val="nil"/>
            </w:tcBorders>
            <w:vAlign w:val="center"/>
          </w:tcPr>
          <w:p w14:paraId="6B2D1A31"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P-value</w:t>
            </w:r>
          </w:p>
        </w:tc>
      </w:tr>
      <w:tr w:rsidR="0035416C" w:rsidRPr="002C7FC2" w14:paraId="1A2848EB" w14:textId="77777777" w:rsidTr="0035416C">
        <w:trPr>
          <w:jc w:val="center"/>
        </w:trPr>
        <w:tc>
          <w:tcPr>
            <w:tcW w:w="1249" w:type="pct"/>
            <w:vMerge/>
            <w:tcBorders>
              <w:left w:val="nil"/>
              <w:right w:val="nil"/>
            </w:tcBorders>
          </w:tcPr>
          <w:p w14:paraId="4C78D86D" w14:textId="77777777" w:rsidR="0035416C" w:rsidRPr="002C7FC2" w:rsidRDefault="0035416C" w:rsidP="00890324">
            <w:pPr>
              <w:adjustRightInd w:val="0"/>
              <w:snapToGrid w:val="0"/>
              <w:jc w:val="center"/>
              <w:rPr>
                <w:rFonts w:ascii="Gill Sans MT" w:hAnsi="Gill Sans MT"/>
                <w:sz w:val="16"/>
                <w:szCs w:val="16"/>
              </w:rPr>
            </w:pPr>
          </w:p>
        </w:tc>
        <w:tc>
          <w:tcPr>
            <w:tcW w:w="1249" w:type="pct"/>
            <w:tcBorders>
              <w:left w:val="nil"/>
              <w:right w:val="nil"/>
            </w:tcBorders>
            <w:vAlign w:val="center"/>
          </w:tcPr>
          <w:p w14:paraId="5313B05A"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LC0</w:t>
            </w:r>
          </w:p>
        </w:tc>
        <w:tc>
          <w:tcPr>
            <w:tcW w:w="1253" w:type="pct"/>
            <w:tcBorders>
              <w:left w:val="nil"/>
              <w:right w:val="nil"/>
            </w:tcBorders>
            <w:vAlign w:val="center"/>
          </w:tcPr>
          <w:p w14:paraId="356155F8"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LC300</w:t>
            </w:r>
          </w:p>
        </w:tc>
        <w:tc>
          <w:tcPr>
            <w:tcW w:w="1249" w:type="pct"/>
            <w:vMerge/>
            <w:tcBorders>
              <w:left w:val="nil"/>
              <w:right w:val="nil"/>
            </w:tcBorders>
          </w:tcPr>
          <w:p w14:paraId="722BECCC" w14:textId="77777777" w:rsidR="0035416C" w:rsidRPr="002C7FC2" w:rsidRDefault="0035416C" w:rsidP="00890324">
            <w:pPr>
              <w:adjustRightInd w:val="0"/>
              <w:snapToGrid w:val="0"/>
              <w:jc w:val="center"/>
              <w:rPr>
                <w:rFonts w:ascii="Gill Sans MT" w:hAnsi="Gill Sans MT"/>
                <w:sz w:val="16"/>
                <w:szCs w:val="16"/>
              </w:rPr>
            </w:pPr>
          </w:p>
        </w:tc>
      </w:tr>
      <w:tr w:rsidR="0035416C" w:rsidRPr="002C7FC2" w14:paraId="626D3B2C" w14:textId="77777777" w:rsidTr="0035416C">
        <w:trPr>
          <w:jc w:val="center"/>
        </w:trPr>
        <w:tc>
          <w:tcPr>
            <w:tcW w:w="1249" w:type="pct"/>
            <w:tcBorders>
              <w:left w:val="nil"/>
              <w:bottom w:val="nil"/>
              <w:right w:val="nil"/>
            </w:tcBorders>
            <w:vAlign w:val="center"/>
          </w:tcPr>
          <w:p w14:paraId="16822E20"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TM (%)</w:t>
            </w:r>
          </w:p>
        </w:tc>
        <w:tc>
          <w:tcPr>
            <w:tcW w:w="1249" w:type="pct"/>
            <w:tcBorders>
              <w:left w:val="nil"/>
              <w:bottom w:val="nil"/>
              <w:right w:val="nil"/>
            </w:tcBorders>
            <w:vAlign w:val="center"/>
          </w:tcPr>
          <w:p w14:paraId="1B30316F"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33.17±8.40</w:t>
            </w:r>
            <w:r w:rsidRPr="002C7FC2">
              <w:rPr>
                <w:rFonts w:ascii="Gill Sans MT" w:hAnsi="Gill Sans MT"/>
                <w:sz w:val="16"/>
                <w:szCs w:val="16"/>
                <w:vertAlign w:val="superscript"/>
              </w:rPr>
              <w:t>a</w:t>
            </w:r>
          </w:p>
        </w:tc>
        <w:tc>
          <w:tcPr>
            <w:tcW w:w="1253" w:type="pct"/>
            <w:tcBorders>
              <w:left w:val="nil"/>
              <w:bottom w:val="nil"/>
              <w:right w:val="nil"/>
            </w:tcBorders>
            <w:vAlign w:val="center"/>
          </w:tcPr>
          <w:p w14:paraId="22E51E75"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38.62±3.47</w:t>
            </w:r>
            <w:r w:rsidRPr="002C7FC2">
              <w:rPr>
                <w:rFonts w:ascii="Gill Sans MT" w:hAnsi="Gill Sans MT"/>
                <w:sz w:val="16"/>
                <w:szCs w:val="16"/>
                <w:vertAlign w:val="superscript"/>
              </w:rPr>
              <w:t>a</w:t>
            </w:r>
          </w:p>
        </w:tc>
        <w:tc>
          <w:tcPr>
            <w:tcW w:w="1249" w:type="pct"/>
            <w:tcBorders>
              <w:left w:val="nil"/>
              <w:bottom w:val="nil"/>
              <w:right w:val="nil"/>
            </w:tcBorders>
            <w:vAlign w:val="center"/>
          </w:tcPr>
          <w:p w14:paraId="4ACE2BA5"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0.48</w:t>
            </w:r>
          </w:p>
        </w:tc>
      </w:tr>
      <w:tr w:rsidR="0035416C" w:rsidRPr="002C7FC2" w14:paraId="266C1DAF" w14:textId="77777777" w:rsidTr="0035416C">
        <w:trPr>
          <w:jc w:val="center"/>
        </w:trPr>
        <w:tc>
          <w:tcPr>
            <w:tcW w:w="1249" w:type="pct"/>
            <w:tcBorders>
              <w:top w:val="nil"/>
              <w:left w:val="nil"/>
              <w:bottom w:val="nil"/>
              <w:right w:val="nil"/>
            </w:tcBorders>
            <w:vAlign w:val="center"/>
          </w:tcPr>
          <w:p w14:paraId="1383E5D9"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PM (%)</w:t>
            </w:r>
          </w:p>
        </w:tc>
        <w:tc>
          <w:tcPr>
            <w:tcW w:w="1249" w:type="pct"/>
            <w:tcBorders>
              <w:top w:val="nil"/>
              <w:left w:val="nil"/>
              <w:bottom w:val="nil"/>
              <w:right w:val="nil"/>
            </w:tcBorders>
            <w:vAlign w:val="center"/>
          </w:tcPr>
          <w:p w14:paraId="461567A9"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19.57±3.69</w:t>
            </w:r>
            <w:r w:rsidRPr="002C7FC2">
              <w:rPr>
                <w:rFonts w:ascii="Gill Sans MT" w:hAnsi="Gill Sans MT"/>
                <w:sz w:val="16"/>
                <w:szCs w:val="16"/>
                <w:vertAlign w:val="superscript"/>
              </w:rPr>
              <w:t>b</w:t>
            </w:r>
          </w:p>
        </w:tc>
        <w:tc>
          <w:tcPr>
            <w:tcW w:w="1253" w:type="pct"/>
            <w:tcBorders>
              <w:top w:val="nil"/>
              <w:left w:val="nil"/>
              <w:bottom w:val="nil"/>
              <w:right w:val="nil"/>
            </w:tcBorders>
            <w:vAlign w:val="center"/>
          </w:tcPr>
          <w:p w14:paraId="3E369037"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25.08±4.94</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4E47754E"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0.021</w:t>
            </w:r>
          </w:p>
        </w:tc>
      </w:tr>
      <w:tr w:rsidR="0035416C" w:rsidRPr="002C7FC2" w14:paraId="27D7E7B5" w14:textId="77777777" w:rsidTr="0035416C">
        <w:trPr>
          <w:jc w:val="center"/>
        </w:trPr>
        <w:tc>
          <w:tcPr>
            <w:tcW w:w="1249" w:type="pct"/>
            <w:tcBorders>
              <w:top w:val="nil"/>
              <w:left w:val="nil"/>
              <w:bottom w:val="nil"/>
              <w:right w:val="nil"/>
            </w:tcBorders>
            <w:vAlign w:val="center"/>
          </w:tcPr>
          <w:p w14:paraId="1CBB8F14"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VCL (µm/s)</w:t>
            </w:r>
          </w:p>
        </w:tc>
        <w:tc>
          <w:tcPr>
            <w:tcW w:w="1249" w:type="pct"/>
            <w:tcBorders>
              <w:top w:val="nil"/>
              <w:left w:val="nil"/>
              <w:bottom w:val="nil"/>
              <w:right w:val="nil"/>
            </w:tcBorders>
            <w:vAlign w:val="center"/>
          </w:tcPr>
          <w:p w14:paraId="626CB733"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159.12±17.60</w:t>
            </w:r>
            <w:r w:rsidRPr="002C7FC2">
              <w:rPr>
                <w:rFonts w:ascii="Gill Sans MT" w:hAnsi="Gill Sans MT"/>
                <w:sz w:val="16"/>
                <w:szCs w:val="16"/>
                <w:vertAlign w:val="superscript"/>
              </w:rPr>
              <w:t>b</w:t>
            </w:r>
          </w:p>
        </w:tc>
        <w:tc>
          <w:tcPr>
            <w:tcW w:w="1253" w:type="pct"/>
            <w:tcBorders>
              <w:top w:val="nil"/>
              <w:left w:val="nil"/>
              <w:bottom w:val="nil"/>
              <w:right w:val="nil"/>
            </w:tcBorders>
            <w:vAlign w:val="center"/>
          </w:tcPr>
          <w:p w14:paraId="7FBCFD8F"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194.94±7.59</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10585595"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0.043</w:t>
            </w:r>
          </w:p>
        </w:tc>
      </w:tr>
      <w:tr w:rsidR="0035416C" w:rsidRPr="002C7FC2" w14:paraId="5E9EFD9F" w14:textId="77777777" w:rsidTr="0035416C">
        <w:trPr>
          <w:jc w:val="center"/>
        </w:trPr>
        <w:tc>
          <w:tcPr>
            <w:tcW w:w="1249" w:type="pct"/>
            <w:tcBorders>
              <w:top w:val="nil"/>
              <w:left w:val="nil"/>
              <w:bottom w:val="nil"/>
              <w:right w:val="nil"/>
            </w:tcBorders>
            <w:vAlign w:val="center"/>
          </w:tcPr>
          <w:p w14:paraId="20E0D589"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VSL (µm/s)</w:t>
            </w:r>
          </w:p>
        </w:tc>
        <w:tc>
          <w:tcPr>
            <w:tcW w:w="1249" w:type="pct"/>
            <w:tcBorders>
              <w:top w:val="nil"/>
              <w:left w:val="nil"/>
              <w:bottom w:val="nil"/>
              <w:right w:val="nil"/>
            </w:tcBorders>
            <w:vAlign w:val="center"/>
          </w:tcPr>
          <w:p w14:paraId="6C6CA6E2"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26.27±3.94</w:t>
            </w:r>
            <w:r w:rsidRPr="002C7FC2">
              <w:rPr>
                <w:rFonts w:ascii="Gill Sans MT" w:hAnsi="Gill Sans MT"/>
                <w:sz w:val="16"/>
                <w:szCs w:val="16"/>
                <w:vertAlign w:val="superscript"/>
              </w:rPr>
              <w:t>b</w:t>
            </w:r>
          </w:p>
        </w:tc>
        <w:tc>
          <w:tcPr>
            <w:tcW w:w="1253" w:type="pct"/>
            <w:tcBorders>
              <w:top w:val="nil"/>
              <w:left w:val="nil"/>
              <w:bottom w:val="nil"/>
              <w:right w:val="nil"/>
            </w:tcBorders>
            <w:vAlign w:val="center"/>
          </w:tcPr>
          <w:p w14:paraId="1F4B1C32"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47.41±5.02</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1F8579D1"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0.021</w:t>
            </w:r>
          </w:p>
        </w:tc>
      </w:tr>
      <w:tr w:rsidR="0035416C" w:rsidRPr="002C7FC2" w14:paraId="389CA756" w14:textId="77777777" w:rsidTr="0035416C">
        <w:trPr>
          <w:jc w:val="center"/>
        </w:trPr>
        <w:tc>
          <w:tcPr>
            <w:tcW w:w="1249" w:type="pct"/>
            <w:tcBorders>
              <w:top w:val="nil"/>
              <w:left w:val="nil"/>
              <w:bottom w:val="nil"/>
              <w:right w:val="nil"/>
            </w:tcBorders>
            <w:vAlign w:val="center"/>
          </w:tcPr>
          <w:p w14:paraId="1474AD88"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lang w:bidi="ar"/>
              </w:rPr>
              <w:t>VAP (µm/s)</w:t>
            </w:r>
          </w:p>
        </w:tc>
        <w:tc>
          <w:tcPr>
            <w:tcW w:w="1249" w:type="pct"/>
            <w:tcBorders>
              <w:top w:val="nil"/>
              <w:left w:val="nil"/>
              <w:bottom w:val="nil"/>
              <w:right w:val="nil"/>
            </w:tcBorders>
            <w:vAlign w:val="center"/>
          </w:tcPr>
          <w:p w14:paraId="5B31FC0B"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59.6±7.10</w:t>
            </w:r>
            <w:r w:rsidRPr="002C7FC2">
              <w:rPr>
                <w:rFonts w:ascii="Gill Sans MT" w:hAnsi="Gill Sans MT"/>
                <w:sz w:val="16"/>
                <w:szCs w:val="16"/>
                <w:vertAlign w:val="superscript"/>
              </w:rPr>
              <w:t>b</w:t>
            </w:r>
          </w:p>
        </w:tc>
        <w:tc>
          <w:tcPr>
            <w:tcW w:w="1253" w:type="pct"/>
            <w:tcBorders>
              <w:top w:val="nil"/>
              <w:left w:val="nil"/>
              <w:bottom w:val="nil"/>
              <w:right w:val="nil"/>
            </w:tcBorders>
            <w:vAlign w:val="center"/>
          </w:tcPr>
          <w:p w14:paraId="279F1055"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83.11±4.63</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1C425AA8"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0.013</w:t>
            </w:r>
          </w:p>
        </w:tc>
      </w:tr>
      <w:tr w:rsidR="0035416C" w:rsidRPr="002C7FC2" w14:paraId="6599011B" w14:textId="77777777" w:rsidTr="0035416C">
        <w:trPr>
          <w:jc w:val="center"/>
        </w:trPr>
        <w:tc>
          <w:tcPr>
            <w:tcW w:w="1249" w:type="pct"/>
            <w:tcBorders>
              <w:top w:val="nil"/>
              <w:left w:val="nil"/>
              <w:bottom w:val="nil"/>
              <w:right w:val="nil"/>
            </w:tcBorders>
            <w:vAlign w:val="center"/>
          </w:tcPr>
          <w:p w14:paraId="6CCC72F2"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lang w:bidi="ar"/>
              </w:rPr>
              <w:t>WOB (%)</w:t>
            </w:r>
          </w:p>
        </w:tc>
        <w:tc>
          <w:tcPr>
            <w:tcW w:w="1249" w:type="pct"/>
            <w:tcBorders>
              <w:top w:val="nil"/>
              <w:left w:val="nil"/>
              <w:bottom w:val="nil"/>
              <w:right w:val="nil"/>
            </w:tcBorders>
            <w:vAlign w:val="center"/>
          </w:tcPr>
          <w:p w14:paraId="7A628C8C"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36.14±1.96</w:t>
            </w:r>
            <w:r w:rsidRPr="002C7FC2">
              <w:rPr>
                <w:rFonts w:ascii="Gill Sans MT" w:hAnsi="Gill Sans MT"/>
                <w:sz w:val="16"/>
                <w:szCs w:val="16"/>
                <w:vertAlign w:val="superscript"/>
              </w:rPr>
              <w:t>b</w:t>
            </w:r>
          </w:p>
        </w:tc>
        <w:tc>
          <w:tcPr>
            <w:tcW w:w="1253" w:type="pct"/>
            <w:tcBorders>
              <w:top w:val="nil"/>
              <w:left w:val="nil"/>
              <w:bottom w:val="nil"/>
              <w:right w:val="nil"/>
            </w:tcBorders>
            <w:vAlign w:val="center"/>
          </w:tcPr>
          <w:p w14:paraId="31B6C096"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43.48±1.98</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4B06F95B"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0.033</w:t>
            </w:r>
          </w:p>
        </w:tc>
      </w:tr>
      <w:tr w:rsidR="0035416C" w:rsidRPr="002C7FC2" w14:paraId="7706BCCF" w14:textId="77777777" w:rsidTr="0035416C">
        <w:trPr>
          <w:jc w:val="center"/>
        </w:trPr>
        <w:tc>
          <w:tcPr>
            <w:tcW w:w="1249" w:type="pct"/>
            <w:tcBorders>
              <w:top w:val="nil"/>
              <w:left w:val="nil"/>
              <w:bottom w:val="nil"/>
              <w:right w:val="nil"/>
            </w:tcBorders>
            <w:vAlign w:val="center"/>
          </w:tcPr>
          <w:p w14:paraId="39CC5BF9"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lang w:bidi="ar"/>
              </w:rPr>
              <w:t>BCF (Hz)</w:t>
            </w:r>
          </w:p>
        </w:tc>
        <w:tc>
          <w:tcPr>
            <w:tcW w:w="1249" w:type="pct"/>
            <w:tcBorders>
              <w:top w:val="nil"/>
              <w:left w:val="nil"/>
              <w:bottom w:val="nil"/>
              <w:right w:val="nil"/>
            </w:tcBorders>
            <w:vAlign w:val="center"/>
          </w:tcPr>
          <w:p w14:paraId="6FF14043"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30.35±2.49</w:t>
            </w:r>
            <w:r w:rsidRPr="002C7FC2">
              <w:rPr>
                <w:rFonts w:ascii="Gill Sans MT" w:hAnsi="Gill Sans MT"/>
                <w:sz w:val="16"/>
                <w:szCs w:val="16"/>
                <w:vertAlign w:val="superscript"/>
              </w:rPr>
              <w:t>a</w:t>
            </w:r>
          </w:p>
        </w:tc>
        <w:tc>
          <w:tcPr>
            <w:tcW w:w="1253" w:type="pct"/>
            <w:tcBorders>
              <w:top w:val="nil"/>
              <w:left w:val="nil"/>
              <w:bottom w:val="nil"/>
              <w:right w:val="nil"/>
            </w:tcBorders>
            <w:vAlign w:val="center"/>
          </w:tcPr>
          <w:p w14:paraId="153B3E42"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35.84±1.41</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1CD01D74"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0.056</w:t>
            </w:r>
          </w:p>
        </w:tc>
      </w:tr>
      <w:tr w:rsidR="0035416C" w:rsidRPr="002C7FC2" w14:paraId="54A478C7" w14:textId="77777777" w:rsidTr="0035416C">
        <w:trPr>
          <w:jc w:val="center"/>
        </w:trPr>
        <w:tc>
          <w:tcPr>
            <w:tcW w:w="1249" w:type="pct"/>
            <w:tcBorders>
              <w:top w:val="nil"/>
              <w:left w:val="nil"/>
              <w:bottom w:val="nil"/>
              <w:right w:val="nil"/>
            </w:tcBorders>
            <w:vAlign w:val="center"/>
          </w:tcPr>
          <w:p w14:paraId="588650F3"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lang w:bidi="ar"/>
              </w:rPr>
              <w:t>ALH (µm)</w:t>
            </w:r>
          </w:p>
        </w:tc>
        <w:tc>
          <w:tcPr>
            <w:tcW w:w="1249" w:type="pct"/>
            <w:tcBorders>
              <w:top w:val="nil"/>
              <w:left w:val="nil"/>
              <w:bottom w:val="nil"/>
              <w:right w:val="nil"/>
            </w:tcBorders>
            <w:vAlign w:val="center"/>
          </w:tcPr>
          <w:p w14:paraId="33DC6EF1"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9.44±1.11</w:t>
            </w:r>
            <w:r w:rsidRPr="002C7FC2">
              <w:rPr>
                <w:rFonts w:ascii="Gill Sans MT" w:hAnsi="Gill Sans MT"/>
                <w:sz w:val="16"/>
                <w:szCs w:val="16"/>
                <w:vertAlign w:val="superscript"/>
              </w:rPr>
              <w:t>b</w:t>
            </w:r>
          </w:p>
        </w:tc>
        <w:tc>
          <w:tcPr>
            <w:tcW w:w="1253" w:type="pct"/>
            <w:tcBorders>
              <w:top w:val="nil"/>
              <w:left w:val="nil"/>
              <w:bottom w:val="nil"/>
              <w:right w:val="nil"/>
            </w:tcBorders>
            <w:vAlign w:val="center"/>
          </w:tcPr>
          <w:p w14:paraId="2A98E646"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13.03±0.88</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46C6D349"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0.021</w:t>
            </w:r>
          </w:p>
        </w:tc>
      </w:tr>
      <w:tr w:rsidR="0035416C" w:rsidRPr="002C7FC2" w14:paraId="64EC5710" w14:textId="77777777" w:rsidTr="0035416C">
        <w:trPr>
          <w:jc w:val="center"/>
        </w:trPr>
        <w:tc>
          <w:tcPr>
            <w:tcW w:w="1249" w:type="pct"/>
            <w:tcBorders>
              <w:top w:val="nil"/>
              <w:left w:val="nil"/>
              <w:bottom w:val="nil"/>
              <w:right w:val="nil"/>
            </w:tcBorders>
            <w:vAlign w:val="center"/>
          </w:tcPr>
          <w:p w14:paraId="44BA3B4A"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lang w:bidi="ar"/>
              </w:rPr>
              <w:t>STR (%)</w:t>
            </w:r>
          </w:p>
        </w:tc>
        <w:tc>
          <w:tcPr>
            <w:tcW w:w="1249" w:type="pct"/>
            <w:tcBorders>
              <w:top w:val="nil"/>
              <w:left w:val="nil"/>
              <w:bottom w:val="nil"/>
              <w:right w:val="nil"/>
            </w:tcBorders>
            <w:vAlign w:val="center"/>
          </w:tcPr>
          <w:p w14:paraId="37816D49"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41.86±2.49</w:t>
            </w:r>
            <w:r w:rsidRPr="002C7FC2">
              <w:rPr>
                <w:rFonts w:ascii="Gill Sans MT" w:hAnsi="Gill Sans MT"/>
                <w:sz w:val="16"/>
                <w:szCs w:val="16"/>
                <w:vertAlign w:val="superscript"/>
              </w:rPr>
              <w:t>a</w:t>
            </w:r>
          </w:p>
        </w:tc>
        <w:tc>
          <w:tcPr>
            <w:tcW w:w="1253" w:type="pct"/>
            <w:tcBorders>
              <w:top w:val="nil"/>
              <w:left w:val="nil"/>
              <w:bottom w:val="nil"/>
              <w:right w:val="nil"/>
            </w:tcBorders>
            <w:vAlign w:val="center"/>
          </w:tcPr>
          <w:p w14:paraId="7B4A5678"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46.00±2.29</w:t>
            </w:r>
            <w:r w:rsidRPr="002C7FC2">
              <w:rPr>
                <w:rFonts w:ascii="Gill Sans MT" w:hAnsi="Gill Sans MT"/>
                <w:sz w:val="16"/>
                <w:szCs w:val="16"/>
                <w:vertAlign w:val="superscript"/>
              </w:rPr>
              <w:t>a</w:t>
            </w:r>
          </w:p>
        </w:tc>
        <w:tc>
          <w:tcPr>
            <w:tcW w:w="1249" w:type="pct"/>
            <w:tcBorders>
              <w:top w:val="nil"/>
              <w:left w:val="nil"/>
              <w:bottom w:val="nil"/>
              <w:right w:val="nil"/>
            </w:tcBorders>
            <w:vAlign w:val="center"/>
          </w:tcPr>
          <w:p w14:paraId="6DE42856"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0.29</w:t>
            </w:r>
          </w:p>
        </w:tc>
      </w:tr>
      <w:tr w:rsidR="0035416C" w:rsidRPr="002C7FC2" w14:paraId="7E98E65B" w14:textId="77777777" w:rsidTr="0035416C">
        <w:trPr>
          <w:jc w:val="center"/>
        </w:trPr>
        <w:tc>
          <w:tcPr>
            <w:tcW w:w="1249" w:type="pct"/>
            <w:tcBorders>
              <w:top w:val="nil"/>
              <w:left w:val="nil"/>
              <w:right w:val="nil"/>
            </w:tcBorders>
            <w:vAlign w:val="center"/>
          </w:tcPr>
          <w:p w14:paraId="59D4E956"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lang w:bidi="ar"/>
              </w:rPr>
              <w:t>LIN (%)</w:t>
            </w:r>
          </w:p>
        </w:tc>
        <w:tc>
          <w:tcPr>
            <w:tcW w:w="1249" w:type="pct"/>
            <w:tcBorders>
              <w:top w:val="nil"/>
              <w:left w:val="nil"/>
              <w:right w:val="nil"/>
            </w:tcBorders>
          </w:tcPr>
          <w:p w14:paraId="580870FE"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21.33±2.00</w:t>
            </w:r>
            <w:r w:rsidRPr="002C7FC2">
              <w:rPr>
                <w:rFonts w:ascii="Gill Sans MT" w:hAnsi="Gill Sans MT"/>
                <w:sz w:val="16"/>
                <w:szCs w:val="16"/>
                <w:vertAlign w:val="superscript"/>
              </w:rPr>
              <w:t>a</w:t>
            </w:r>
          </w:p>
        </w:tc>
        <w:tc>
          <w:tcPr>
            <w:tcW w:w="1253" w:type="pct"/>
            <w:tcBorders>
              <w:top w:val="nil"/>
              <w:left w:val="nil"/>
              <w:right w:val="nil"/>
            </w:tcBorders>
          </w:tcPr>
          <w:p w14:paraId="56E39790"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23.13±1.60</w:t>
            </w:r>
            <w:r w:rsidRPr="002C7FC2">
              <w:rPr>
                <w:rFonts w:ascii="Gill Sans MT" w:hAnsi="Gill Sans MT"/>
                <w:sz w:val="16"/>
                <w:szCs w:val="16"/>
                <w:vertAlign w:val="superscript"/>
              </w:rPr>
              <w:t>a</w:t>
            </w:r>
          </w:p>
        </w:tc>
        <w:tc>
          <w:tcPr>
            <w:tcW w:w="1249" w:type="pct"/>
            <w:tcBorders>
              <w:top w:val="nil"/>
              <w:left w:val="nil"/>
              <w:right w:val="nil"/>
            </w:tcBorders>
          </w:tcPr>
          <w:p w14:paraId="743A609A" w14:textId="77777777" w:rsidR="0035416C" w:rsidRPr="002C7FC2" w:rsidRDefault="0035416C" w:rsidP="00890324">
            <w:pPr>
              <w:adjustRightInd w:val="0"/>
              <w:snapToGrid w:val="0"/>
              <w:jc w:val="center"/>
              <w:rPr>
                <w:rFonts w:ascii="Gill Sans MT" w:hAnsi="Gill Sans MT"/>
                <w:sz w:val="16"/>
                <w:szCs w:val="16"/>
              </w:rPr>
            </w:pPr>
            <w:r w:rsidRPr="002C7FC2">
              <w:rPr>
                <w:rFonts w:ascii="Gill Sans MT" w:hAnsi="Gill Sans MT"/>
                <w:sz w:val="16"/>
                <w:szCs w:val="16"/>
              </w:rPr>
              <w:t>0.50</w:t>
            </w:r>
          </w:p>
        </w:tc>
      </w:tr>
    </w:tbl>
    <w:p w14:paraId="625D0E63" w14:textId="77777777" w:rsidR="00C60047" w:rsidRDefault="0035416C" w:rsidP="006A7DAE">
      <w:pPr>
        <w:adjustRightInd w:val="0"/>
        <w:snapToGrid w:val="0"/>
        <w:jc w:val="both"/>
        <w:rPr>
          <w:rFonts w:ascii="Gill Sans MT" w:hAnsi="Gill Sans MT"/>
          <w:sz w:val="16"/>
          <w:szCs w:val="16"/>
        </w:rPr>
      </w:pPr>
      <w:r w:rsidRPr="002C7FC2">
        <w:rPr>
          <w:rFonts w:ascii="Gill Sans MT" w:hAnsi="Gill Sans MT"/>
          <w:sz w:val="16"/>
          <w:szCs w:val="16"/>
        </w:rPr>
        <w:t>Values with different superscripts within the same row differ significantly from one another (P&lt;0.05).</w:t>
      </w:r>
    </w:p>
    <w:p w14:paraId="44C318DE" w14:textId="77777777" w:rsidR="0035416C" w:rsidRDefault="0035416C" w:rsidP="006A7DAE">
      <w:pPr>
        <w:adjustRightInd w:val="0"/>
        <w:snapToGrid w:val="0"/>
        <w:jc w:val="both"/>
        <w:rPr>
          <w:rFonts w:ascii="Gill Sans MT" w:hAnsi="Gill Sans MT"/>
          <w:sz w:val="16"/>
          <w:szCs w:val="16"/>
        </w:rPr>
      </w:pPr>
    </w:p>
    <w:p w14:paraId="68AFDD0E" w14:textId="4ACA3F59" w:rsidR="0035416C" w:rsidRDefault="0035416C" w:rsidP="006A7DAE">
      <w:pPr>
        <w:adjustRightInd w:val="0"/>
        <w:snapToGrid w:val="0"/>
        <w:jc w:val="both"/>
        <w:rPr>
          <w:sz w:val="20"/>
          <w:szCs w:val="20"/>
        </w:rPr>
        <w:sectPr w:rsidR="0035416C" w:rsidSect="00C60047">
          <w:type w:val="continuous"/>
          <w:pgSz w:w="11909" w:h="16834" w:code="9"/>
          <w:pgMar w:top="1080" w:right="1080" w:bottom="1080" w:left="1080" w:header="720" w:footer="720" w:gutter="0"/>
          <w:cols w:space="360"/>
          <w:docGrid w:linePitch="360"/>
        </w:sectPr>
      </w:pPr>
    </w:p>
    <w:p w14:paraId="312587FA" w14:textId="77777777" w:rsidR="00C60047" w:rsidRDefault="00C60047" w:rsidP="00C60047">
      <w:pPr>
        <w:pStyle w:val="Heading3"/>
        <w:spacing w:before="0" w:after="0" w:line="244" w:lineRule="auto"/>
        <w:jc w:val="center"/>
        <w:rPr>
          <w:rFonts w:ascii="Gill Sans MT" w:hAnsi="Gill Sans MT"/>
          <w:b w:val="0"/>
          <w:bCs w:val="0"/>
          <w:sz w:val="16"/>
          <w:szCs w:val="16"/>
        </w:rPr>
      </w:pPr>
      <w:bookmarkStart w:id="11" w:name="_Hlk210181986"/>
      <w:bookmarkEnd w:id="4"/>
      <w:r w:rsidRPr="002C7FC2">
        <w:rPr>
          <w:rFonts w:ascii="Gill Sans MT" w:hAnsi="Gill Sans MT"/>
          <w:b w:val="0"/>
          <w:bCs w:val="0"/>
          <w:noProof/>
          <w:sz w:val="16"/>
          <w:szCs w:val="16"/>
        </w:rPr>
        <w:lastRenderedPageBreak/>
        <w:drawing>
          <wp:inline distT="0" distB="0" distL="114300" distR="114300" wp14:anchorId="51679326" wp14:editId="4713B3DC">
            <wp:extent cx="5942965" cy="4527550"/>
            <wp:effectExtent l="0" t="0" r="635" b="6350"/>
            <wp:docPr id="9" name="图片 9" descr="微信图片_2025090609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906093945"/>
                    <pic:cNvPicPr>
                      <a:picLocks noChangeAspect="1"/>
                    </pic:cNvPicPr>
                  </pic:nvPicPr>
                  <pic:blipFill>
                    <a:blip r:embed="rId11"/>
                    <a:stretch>
                      <a:fillRect/>
                    </a:stretch>
                  </pic:blipFill>
                  <pic:spPr>
                    <a:xfrm>
                      <a:off x="0" y="0"/>
                      <a:ext cx="5944442" cy="4528675"/>
                    </a:xfrm>
                    <a:prstGeom prst="rect">
                      <a:avLst/>
                    </a:prstGeom>
                  </pic:spPr>
                </pic:pic>
              </a:graphicData>
            </a:graphic>
          </wp:inline>
        </w:drawing>
      </w:r>
    </w:p>
    <w:p w14:paraId="4CFD511F" w14:textId="77777777" w:rsidR="00C60047" w:rsidRPr="00C60047" w:rsidRDefault="00C60047" w:rsidP="00C60047">
      <w:pPr>
        <w:rPr>
          <w:sz w:val="16"/>
          <w:szCs w:val="16"/>
        </w:rPr>
      </w:pPr>
    </w:p>
    <w:p w14:paraId="4A373276" w14:textId="75F110C6" w:rsidR="00C60047" w:rsidRDefault="00C60047" w:rsidP="00C60047">
      <w:pPr>
        <w:pStyle w:val="Heading3"/>
        <w:spacing w:before="0" w:after="0" w:line="244" w:lineRule="auto"/>
        <w:jc w:val="both"/>
        <w:rPr>
          <w:rFonts w:ascii="Gill Sans MT" w:hAnsi="Gill Sans MT"/>
          <w:b w:val="0"/>
          <w:bCs w:val="0"/>
          <w:sz w:val="16"/>
          <w:szCs w:val="16"/>
        </w:rPr>
      </w:pPr>
      <w:r w:rsidRPr="00C60047">
        <w:rPr>
          <w:rFonts w:ascii="Gill Sans MT" w:hAnsi="Gill Sans MT"/>
          <w:sz w:val="16"/>
          <w:szCs w:val="16"/>
        </w:rPr>
        <w:t>Fig. 1:</w:t>
      </w:r>
      <w:r w:rsidRPr="002C7FC2">
        <w:rPr>
          <w:rFonts w:ascii="Gill Sans MT" w:hAnsi="Gill Sans MT"/>
          <w:sz w:val="16"/>
          <w:szCs w:val="16"/>
        </w:rPr>
        <w:t xml:space="preserve"> </w:t>
      </w:r>
      <w:r w:rsidRPr="00C60047">
        <w:rPr>
          <w:rFonts w:ascii="Gill Sans MT" w:hAnsi="Gill Sans MT"/>
          <w:b w:val="0"/>
          <w:bCs w:val="0"/>
          <w:sz w:val="16"/>
          <w:szCs w:val="16"/>
        </w:rPr>
        <w:t>Effects of supplementation with LC on spermatozoa acrosomal integrity. (A): Histogram of effects of different LC doses on the spermatozoa acrosomal integrity. (B): Flow cytometric assessment of spermatozoa acrosomal integrity using PNA-FITC/PI dual staining. Here, spermatozoa displaying negative PI staining and negative FITC-PNA staining were categorized as viable cells with an intact acrosomal membrane. Different superscript letters indicate significant differences between treatments (P&lt;0.05).</w:t>
      </w:r>
      <w:bookmarkEnd w:id="11"/>
    </w:p>
    <w:p w14:paraId="513E80F6" w14:textId="77777777" w:rsidR="00C60047" w:rsidRPr="00C60047" w:rsidRDefault="00C60047" w:rsidP="00C60047">
      <w:pPr>
        <w:rPr>
          <w:sz w:val="16"/>
          <w:szCs w:val="16"/>
        </w:rPr>
      </w:pPr>
    </w:p>
    <w:p w14:paraId="1BA91143" w14:textId="77777777" w:rsidR="00C60047" w:rsidRPr="002C7FC2" w:rsidRDefault="00C60047" w:rsidP="00C60047">
      <w:pPr>
        <w:adjustRightInd w:val="0"/>
        <w:snapToGrid w:val="0"/>
        <w:jc w:val="center"/>
        <w:rPr>
          <w:rFonts w:ascii="Gill Sans MT" w:hAnsi="Gill Sans MT"/>
          <w:b/>
          <w:bCs/>
          <w:sz w:val="16"/>
          <w:szCs w:val="16"/>
        </w:rPr>
      </w:pPr>
      <w:r w:rsidRPr="002C7FC2">
        <w:rPr>
          <w:rFonts w:ascii="Gill Sans MT" w:hAnsi="Gill Sans MT"/>
          <w:noProof/>
          <w:sz w:val="16"/>
          <w:szCs w:val="16"/>
        </w:rPr>
        <w:lastRenderedPageBreak/>
        <w:drawing>
          <wp:inline distT="0" distB="0" distL="114300" distR="114300" wp14:anchorId="0A4F6B08" wp14:editId="563DA16D">
            <wp:extent cx="5943174" cy="3873500"/>
            <wp:effectExtent l="0" t="0" r="63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954677" cy="3880997"/>
                    </a:xfrm>
                    <a:prstGeom prst="rect">
                      <a:avLst/>
                    </a:prstGeom>
                    <a:noFill/>
                    <a:ln>
                      <a:noFill/>
                    </a:ln>
                  </pic:spPr>
                </pic:pic>
              </a:graphicData>
            </a:graphic>
          </wp:inline>
        </w:drawing>
      </w:r>
    </w:p>
    <w:p w14:paraId="47DCD6DF" w14:textId="77777777" w:rsidR="00C60047" w:rsidRDefault="00C60047" w:rsidP="00C60047">
      <w:pPr>
        <w:pStyle w:val="Heading3"/>
        <w:spacing w:before="0" w:after="0" w:line="244" w:lineRule="auto"/>
        <w:jc w:val="both"/>
        <w:rPr>
          <w:rFonts w:ascii="Gill Sans MT" w:hAnsi="Gill Sans MT"/>
          <w:sz w:val="16"/>
          <w:szCs w:val="16"/>
        </w:rPr>
      </w:pPr>
    </w:p>
    <w:p w14:paraId="2D0F128D" w14:textId="77777777" w:rsidR="00C60047" w:rsidRDefault="00C60047" w:rsidP="00C60047">
      <w:pPr>
        <w:pStyle w:val="Heading3"/>
        <w:spacing w:before="0" w:after="0" w:line="244" w:lineRule="auto"/>
        <w:jc w:val="both"/>
        <w:rPr>
          <w:rFonts w:ascii="Gill Sans MT" w:hAnsi="Gill Sans MT"/>
          <w:b w:val="0"/>
          <w:bCs w:val="0"/>
          <w:sz w:val="16"/>
          <w:szCs w:val="16"/>
        </w:rPr>
      </w:pPr>
      <w:r w:rsidRPr="00C60047">
        <w:rPr>
          <w:rFonts w:ascii="Gill Sans MT" w:hAnsi="Gill Sans MT"/>
          <w:sz w:val="16"/>
          <w:szCs w:val="16"/>
        </w:rPr>
        <w:t>Fig. 2:</w:t>
      </w:r>
      <w:r w:rsidRPr="00C60047">
        <w:rPr>
          <w:rFonts w:ascii="Gill Sans MT" w:hAnsi="Gill Sans MT"/>
          <w:b w:val="0"/>
          <w:bCs w:val="0"/>
          <w:sz w:val="16"/>
          <w:szCs w:val="16"/>
        </w:rPr>
        <w:t xml:space="preserve"> Effects of supplementation with LC on spermatozoa membrane integrity. (A)Histogram</w:t>
      </w:r>
      <w:r w:rsidRPr="00C60047">
        <w:rPr>
          <w:rStyle w:val="CommentReference"/>
          <w:rFonts w:ascii="Gill Sans MT" w:hAnsi="Gill Sans MT"/>
          <w:b w:val="0"/>
          <w:bCs w:val="0"/>
        </w:rPr>
        <w:t xml:space="preserve"> </w:t>
      </w:r>
      <w:r w:rsidRPr="00C60047">
        <w:rPr>
          <w:rFonts w:ascii="Gill Sans MT" w:hAnsi="Gill Sans MT"/>
          <w:b w:val="0"/>
          <w:bCs w:val="0"/>
          <w:sz w:val="16"/>
          <w:szCs w:val="16"/>
        </w:rPr>
        <w:t>of effects of different LC doses on the spermatozoa membrane integrity. (B): Flow cytometric assessment of spermatozoa plasma membrane integrity using SYBR-14/PI dual staining. Here, spermatozoa exhibiting negative PI staining but positive SYBR-14 staining were classified as viable cells with intact plasma membranes. Different superscript letters indicate significant differences between treatments (P&lt;0.05).</w:t>
      </w:r>
    </w:p>
    <w:p w14:paraId="6CCEF643" w14:textId="77777777" w:rsidR="0035416C" w:rsidRDefault="0035416C" w:rsidP="0035416C"/>
    <w:p w14:paraId="2558A158" w14:textId="4532C5D8" w:rsidR="0035416C" w:rsidRPr="0035416C" w:rsidRDefault="0035416C" w:rsidP="0035416C">
      <w:pPr>
        <w:rPr>
          <w:sz w:val="16"/>
          <w:szCs w:val="16"/>
        </w:rPr>
        <w:sectPr w:rsidR="0035416C" w:rsidRPr="0035416C" w:rsidSect="00C60047">
          <w:type w:val="continuous"/>
          <w:pgSz w:w="11909" w:h="16834" w:code="9"/>
          <w:pgMar w:top="1080" w:right="1080" w:bottom="1080" w:left="1080" w:header="720" w:footer="720" w:gutter="0"/>
          <w:cols w:space="360"/>
          <w:docGrid w:linePitch="360"/>
        </w:sectPr>
      </w:pPr>
    </w:p>
    <w:p w14:paraId="305C9E76" w14:textId="77777777" w:rsidR="00C60047" w:rsidRPr="00C60047" w:rsidRDefault="00C60047" w:rsidP="00C60047">
      <w:pPr>
        <w:adjustRightInd w:val="0"/>
        <w:snapToGrid w:val="0"/>
        <w:jc w:val="center"/>
        <w:rPr>
          <w:rFonts w:ascii="Gill Sans MT" w:hAnsi="Gill Sans MT"/>
          <w:sz w:val="16"/>
          <w:szCs w:val="16"/>
        </w:rPr>
      </w:pPr>
      <w:r w:rsidRPr="00C60047">
        <w:rPr>
          <w:rFonts w:ascii="Gill Sans MT" w:hAnsi="Gill Sans MT"/>
          <w:noProof/>
          <w:sz w:val="16"/>
          <w:szCs w:val="16"/>
        </w:rPr>
        <w:lastRenderedPageBreak/>
        <w:drawing>
          <wp:inline distT="0" distB="0" distL="114300" distR="114300" wp14:anchorId="3515F23C" wp14:editId="168B40F9">
            <wp:extent cx="5942965" cy="3848100"/>
            <wp:effectExtent l="0" t="0" r="63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5946145" cy="3850159"/>
                    </a:xfrm>
                    <a:prstGeom prst="rect">
                      <a:avLst/>
                    </a:prstGeom>
                    <a:noFill/>
                    <a:ln>
                      <a:noFill/>
                    </a:ln>
                  </pic:spPr>
                </pic:pic>
              </a:graphicData>
            </a:graphic>
          </wp:inline>
        </w:drawing>
      </w:r>
    </w:p>
    <w:p w14:paraId="45F8D0BE" w14:textId="77777777" w:rsidR="00C60047" w:rsidRDefault="00C60047" w:rsidP="00C60047">
      <w:pPr>
        <w:pStyle w:val="Heading3"/>
        <w:spacing w:before="0" w:after="0" w:line="244" w:lineRule="auto"/>
        <w:jc w:val="both"/>
        <w:rPr>
          <w:rFonts w:ascii="Gill Sans MT" w:hAnsi="Gill Sans MT"/>
          <w:sz w:val="16"/>
          <w:szCs w:val="16"/>
        </w:rPr>
      </w:pPr>
    </w:p>
    <w:p w14:paraId="20747FEE" w14:textId="6C02E42F" w:rsidR="00C60047" w:rsidRPr="00C60047" w:rsidRDefault="00C60047" w:rsidP="00C60047">
      <w:pPr>
        <w:pStyle w:val="Heading3"/>
        <w:spacing w:before="0" w:after="0" w:line="244" w:lineRule="auto"/>
        <w:jc w:val="both"/>
        <w:rPr>
          <w:rFonts w:ascii="Times New Roman" w:hAnsi="Times New Roman"/>
          <w:b w:val="0"/>
          <w:bCs w:val="0"/>
          <w:sz w:val="20"/>
        </w:rPr>
      </w:pPr>
      <w:r w:rsidRPr="00C60047">
        <w:rPr>
          <w:rFonts w:ascii="Gill Sans MT" w:hAnsi="Gill Sans MT"/>
          <w:sz w:val="16"/>
          <w:szCs w:val="16"/>
        </w:rPr>
        <w:t>Fig. 3:</w:t>
      </w:r>
      <w:r w:rsidRPr="00C60047">
        <w:rPr>
          <w:rFonts w:ascii="Gill Sans MT" w:hAnsi="Gill Sans MT"/>
          <w:b w:val="0"/>
          <w:bCs w:val="0"/>
          <w:sz w:val="16"/>
          <w:szCs w:val="16"/>
        </w:rPr>
        <w:t xml:space="preserve"> Effects of dietary LC supplementation on spermatozoa MMP. (A): Histogram of the effects of different LC doses on spermatozoa MMP. (B): Flow cytometric assessment of spermatozoa MMP using JC-1 staining. Here, JC-1 aggregates were indicative of the sperm with normal MMP (emitting red fluorescence), while JC-1 monomers showed the sperm with a reduced MMP (emitting green fluorescence). Different superscript letters indicate significant differences between treatments (P&lt;0.05).</w:t>
      </w:r>
    </w:p>
    <w:p w14:paraId="0C99ECFA" w14:textId="77777777" w:rsidR="00C60047" w:rsidRPr="00C60047" w:rsidRDefault="00C60047" w:rsidP="00C60047">
      <w:pPr>
        <w:rPr>
          <w:sz w:val="16"/>
          <w:szCs w:val="16"/>
        </w:rPr>
      </w:pPr>
    </w:p>
    <w:p w14:paraId="0824FCB4" w14:textId="77777777" w:rsidR="00C60047" w:rsidRPr="002C7FC2" w:rsidRDefault="00C60047" w:rsidP="00C60047">
      <w:pPr>
        <w:adjustRightInd w:val="0"/>
        <w:snapToGrid w:val="0"/>
        <w:jc w:val="center"/>
        <w:rPr>
          <w:rFonts w:ascii="Gill Sans MT" w:hAnsi="Gill Sans MT"/>
          <w:b/>
          <w:bCs/>
          <w:sz w:val="16"/>
          <w:szCs w:val="16"/>
        </w:rPr>
      </w:pPr>
      <w:r w:rsidRPr="002C7FC2">
        <w:rPr>
          <w:rFonts w:ascii="Gill Sans MT" w:hAnsi="Gill Sans MT"/>
          <w:b/>
          <w:bCs/>
          <w:noProof/>
          <w:sz w:val="16"/>
          <w:szCs w:val="16"/>
        </w:rPr>
        <w:lastRenderedPageBreak/>
        <w:drawing>
          <wp:inline distT="0" distB="0" distL="114300" distR="114300" wp14:anchorId="13C527DB" wp14:editId="273ACF0F">
            <wp:extent cx="5942965" cy="3968750"/>
            <wp:effectExtent l="0" t="0" r="635" b="0"/>
            <wp:docPr id="16" name="图片 16" descr="微信图片_202509060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906094018"/>
                    <pic:cNvPicPr>
                      <a:picLocks noChangeAspect="1"/>
                    </pic:cNvPicPr>
                  </pic:nvPicPr>
                  <pic:blipFill>
                    <a:blip r:embed="rId14"/>
                    <a:stretch>
                      <a:fillRect/>
                    </a:stretch>
                  </pic:blipFill>
                  <pic:spPr>
                    <a:xfrm>
                      <a:off x="0" y="0"/>
                      <a:ext cx="5944975" cy="3970092"/>
                    </a:xfrm>
                    <a:prstGeom prst="rect">
                      <a:avLst/>
                    </a:prstGeom>
                  </pic:spPr>
                </pic:pic>
              </a:graphicData>
            </a:graphic>
          </wp:inline>
        </w:drawing>
      </w:r>
    </w:p>
    <w:p w14:paraId="6DC9CA98" w14:textId="77777777" w:rsidR="00C60047" w:rsidRDefault="00C60047" w:rsidP="00C60047">
      <w:pPr>
        <w:jc w:val="both"/>
        <w:rPr>
          <w:rFonts w:ascii="Gill Sans MT" w:hAnsi="Gill Sans MT"/>
          <w:b/>
          <w:bCs/>
          <w:sz w:val="16"/>
          <w:szCs w:val="16"/>
        </w:rPr>
      </w:pPr>
    </w:p>
    <w:p w14:paraId="51F6D658" w14:textId="77777777" w:rsidR="00C60047" w:rsidRDefault="00C60047" w:rsidP="00C60047">
      <w:pPr>
        <w:jc w:val="both"/>
        <w:rPr>
          <w:rFonts w:ascii="Gill Sans MT" w:hAnsi="Gill Sans MT"/>
          <w:sz w:val="16"/>
          <w:szCs w:val="16"/>
        </w:rPr>
      </w:pPr>
      <w:r w:rsidRPr="002C7FC2">
        <w:rPr>
          <w:rFonts w:ascii="Gill Sans MT" w:hAnsi="Gill Sans MT"/>
          <w:b/>
          <w:bCs/>
          <w:sz w:val="16"/>
          <w:szCs w:val="16"/>
        </w:rPr>
        <w:t>Fig. 4</w:t>
      </w:r>
      <w:r w:rsidRPr="002C7FC2">
        <w:rPr>
          <w:rFonts w:ascii="Gill Sans MT" w:hAnsi="Gill Sans MT"/>
          <w:sz w:val="16"/>
          <w:szCs w:val="16"/>
        </w:rPr>
        <w:t>: Effects of dietary LC supplementation on spermatozoa apoptosis. (A): Histogram of the effects of different LC doses on spermatozoa early apoptosis. (B): Histogram of the effects of different LC doses on spermatozoa late apoptosis. (C): Flow cytometric assessment of spermatozoa apoptosis using dual Annexin V PE and 7-AAD staining. Here, spermatozoa with negative 7-AAD staining but positive Annexin V-PE staining were classified as early apoptotic, while those with positive 7-AAD and Annexin V-PE staining were defined as late apoptotic. Different superscript letters indicate significant differences between treatments (P&lt;0.05).</w:t>
      </w:r>
    </w:p>
    <w:p w14:paraId="13BFEAFC" w14:textId="77777777" w:rsidR="0035416C" w:rsidRDefault="0035416C" w:rsidP="00C60047">
      <w:pPr>
        <w:jc w:val="both"/>
        <w:rPr>
          <w:rFonts w:ascii="Gill Sans MT" w:hAnsi="Gill Sans MT"/>
          <w:sz w:val="16"/>
          <w:szCs w:val="16"/>
        </w:rPr>
      </w:pPr>
    </w:p>
    <w:p w14:paraId="28B2BCD4" w14:textId="69FEC49E" w:rsidR="0035416C" w:rsidRPr="0035416C" w:rsidRDefault="0035416C" w:rsidP="00C60047">
      <w:pPr>
        <w:jc w:val="both"/>
        <w:rPr>
          <w:sz w:val="20"/>
          <w:szCs w:val="20"/>
        </w:rPr>
        <w:sectPr w:rsidR="0035416C" w:rsidRPr="0035416C" w:rsidSect="00C60047">
          <w:type w:val="continuous"/>
          <w:pgSz w:w="11909" w:h="16834" w:code="9"/>
          <w:pgMar w:top="1080" w:right="1080" w:bottom="1080" w:left="1080" w:header="720" w:footer="720" w:gutter="0"/>
          <w:cols w:space="360"/>
          <w:docGrid w:linePitch="360"/>
        </w:sectPr>
      </w:pPr>
    </w:p>
    <w:p w14:paraId="40E588E7" w14:textId="77777777" w:rsidR="0035416C" w:rsidRDefault="0035416C" w:rsidP="00C413B0">
      <w:pPr>
        <w:adjustRightInd w:val="0"/>
        <w:snapToGrid w:val="0"/>
        <w:jc w:val="center"/>
        <w:rPr>
          <w:rFonts w:ascii="Gill Sans MT" w:hAnsi="Gill Sans MT"/>
          <w:b/>
          <w:bCs/>
          <w:sz w:val="16"/>
          <w:szCs w:val="16"/>
        </w:rPr>
      </w:pPr>
      <w:r w:rsidRPr="002C7FC2">
        <w:rPr>
          <w:rFonts w:ascii="Gill Sans MT" w:hAnsi="Gill Sans MT"/>
          <w:b/>
          <w:bCs/>
          <w:noProof/>
          <w:sz w:val="16"/>
          <w:szCs w:val="16"/>
        </w:rPr>
        <w:lastRenderedPageBreak/>
        <w:drawing>
          <wp:inline distT="0" distB="0" distL="114300" distR="114300" wp14:anchorId="68D185B9" wp14:editId="7FCF636B">
            <wp:extent cx="5638800" cy="1885315"/>
            <wp:effectExtent l="0" t="0" r="0" b="635"/>
            <wp:docPr id="17" name="图片 17" descr="微信图片_2025090609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906094032"/>
                    <pic:cNvPicPr>
                      <a:picLocks noChangeAspect="1"/>
                    </pic:cNvPicPr>
                  </pic:nvPicPr>
                  <pic:blipFill rotWithShape="1">
                    <a:blip r:embed="rId15"/>
                    <a:srcRect l="2565" t="4051" r="2525" b="52992"/>
                    <a:stretch/>
                  </pic:blipFill>
                  <pic:spPr bwMode="auto">
                    <a:xfrm>
                      <a:off x="0" y="0"/>
                      <a:ext cx="5640699" cy="1885950"/>
                    </a:xfrm>
                    <a:prstGeom prst="rect">
                      <a:avLst/>
                    </a:prstGeom>
                    <a:ln>
                      <a:noFill/>
                    </a:ln>
                    <a:extLst>
                      <a:ext uri="{53640926-AAD7-44D8-BBD7-CCE9431645EC}">
                        <a14:shadowObscured xmlns:a14="http://schemas.microsoft.com/office/drawing/2010/main"/>
                      </a:ext>
                    </a:extLst>
                  </pic:spPr>
                </pic:pic>
              </a:graphicData>
            </a:graphic>
          </wp:inline>
        </w:drawing>
      </w:r>
    </w:p>
    <w:p w14:paraId="6E984936" w14:textId="01D5B44F" w:rsidR="0035416C" w:rsidRPr="002C7FC2" w:rsidRDefault="00890324" w:rsidP="00C413B0">
      <w:pPr>
        <w:adjustRightInd w:val="0"/>
        <w:snapToGrid w:val="0"/>
        <w:jc w:val="center"/>
        <w:rPr>
          <w:rFonts w:ascii="Gill Sans MT" w:hAnsi="Gill Sans MT"/>
          <w:b/>
          <w:bCs/>
          <w:sz w:val="16"/>
          <w:szCs w:val="16"/>
        </w:rPr>
      </w:pPr>
      <w:r w:rsidRPr="002C7FC2">
        <w:rPr>
          <w:rFonts w:ascii="Gill Sans MT" w:hAnsi="Gill Sans MT"/>
          <w:b/>
          <w:bCs/>
          <w:noProof/>
          <w:sz w:val="16"/>
          <w:szCs w:val="16"/>
        </w:rPr>
        <w:drawing>
          <wp:inline distT="0" distB="0" distL="114300" distR="114300" wp14:anchorId="7E72DD2A" wp14:editId="4F37D7DE">
            <wp:extent cx="5591175" cy="1809750"/>
            <wp:effectExtent l="0" t="0" r="9525" b="0"/>
            <wp:docPr id="3" name="图片 17" descr="微信图片_2025090609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906094032"/>
                    <pic:cNvPicPr>
                      <a:picLocks noChangeAspect="1"/>
                    </pic:cNvPicPr>
                  </pic:nvPicPr>
                  <pic:blipFill rotWithShape="1">
                    <a:blip r:embed="rId15"/>
                    <a:srcRect l="2884" t="55253" r="3005" b="3511"/>
                    <a:stretch/>
                  </pic:blipFill>
                  <pic:spPr bwMode="auto">
                    <a:xfrm>
                      <a:off x="0" y="0"/>
                      <a:ext cx="5593563" cy="1810523"/>
                    </a:xfrm>
                    <a:prstGeom prst="rect">
                      <a:avLst/>
                    </a:prstGeom>
                    <a:ln>
                      <a:noFill/>
                    </a:ln>
                    <a:extLst>
                      <a:ext uri="{53640926-AAD7-44D8-BBD7-CCE9431645EC}">
                        <a14:shadowObscured xmlns:a14="http://schemas.microsoft.com/office/drawing/2010/main"/>
                      </a:ext>
                    </a:extLst>
                  </pic:spPr>
                </pic:pic>
              </a:graphicData>
            </a:graphic>
          </wp:inline>
        </w:drawing>
      </w:r>
    </w:p>
    <w:p w14:paraId="503E5A63" w14:textId="77777777" w:rsidR="00D2343C" w:rsidRDefault="00D2343C" w:rsidP="0035416C">
      <w:pPr>
        <w:pStyle w:val="Heading3"/>
        <w:spacing w:before="0" w:after="0" w:line="244" w:lineRule="auto"/>
        <w:jc w:val="both"/>
        <w:rPr>
          <w:rFonts w:ascii="Gill Sans MT" w:hAnsi="Gill Sans MT"/>
          <w:sz w:val="16"/>
          <w:szCs w:val="16"/>
        </w:rPr>
      </w:pPr>
      <w:bookmarkStart w:id="12" w:name="_GoBack"/>
      <w:bookmarkEnd w:id="12"/>
    </w:p>
    <w:p w14:paraId="50394A55" w14:textId="4ACDB24F" w:rsidR="0035416C" w:rsidRPr="0035416C" w:rsidRDefault="0035416C" w:rsidP="0035416C">
      <w:pPr>
        <w:pStyle w:val="Heading3"/>
        <w:spacing w:before="0" w:after="0" w:line="244" w:lineRule="auto"/>
        <w:jc w:val="both"/>
        <w:rPr>
          <w:rFonts w:ascii="Times New Roman" w:hAnsi="Times New Roman"/>
          <w:b w:val="0"/>
          <w:bCs w:val="0"/>
          <w:sz w:val="20"/>
        </w:rPr>
      </w:pPr>
      <w:r w:rsidRPr="0035416C">
        <w:rPr>
          <w:rFonts w:ascii="Gill Sans MT" w:hAnsi="Gill Sans MT"/>
          <w:sz w:val="16"/>
          <w:szCs w:val="16"/>
        </w:rPr>
        <w:t>Fig. 5:</w:t>
      </w:r>
      <w:r w:rsidRPr="0035416C">
        <w:rPr>
          <w:rFonts w:ascii="Gill Sans MT" w:hAnsi="Gill Sans MT"/>
          <w:b w:val="0"/>
          <w:bCs w:val="0"/>
          <w:sz w:val="16"/>
          <w:szCs w:val="16"/>
        </w:rPr>
        <w:t xml:space="preserve"> The </w:t>
      </w:r>
      <w:proofErr w:type="spellStart"/>
      <w:r w:rsidRPr="0035416C">
        <w:rPr>
          <w:rFonts w:ascii="Gill Sans MT" w:hAnsi="Gill Sans MT"/>
          <w:b w:val="0"/>
          <w:bCs w:val="0"/>
          <w:sz w:val="16"/>
          <w:szCs w:val="16"/>
        </w:rPr>
        <w:t>qRT</w:t>
      </w:r>
      <w:proofErr w:type="spellEnd"/>
      <w:r w:rsidRPr="0035416C">
        <w:rPr>
          <w:rFonts w:ascii="Gill Sans MT" w:hAnsi="Gill Sans MT"/>
          <w:b w:val="0"/>
          <w:bCs w:val="0"/>
          <w:sz w:val="16"/>
          <w:szCs w:val="16"/>
        </w:rPr>
        <w:t xml:space="preserve">-PCR of mRNA levels in semen after dietary LC supplementation: (A): </w:t>
      </w:r>
      <w:r w:rsidRPr="0035416C">
        <w:rPr>
          <w:rFonts w:ascii="Gill Sans MT" w:hAnsi="Gill Sans MT"/>
          <w:b w:val="0"/>
          <w:bCs w:val="0"/>
          <w:i/>
          <w:iCs/>
          <w:sz w:val="16"/>
          <w:szCs w:val="16"/>
        </w:rPr>
        <w:t>KEAP-1</w:t>
      </w:r>
      <w:r w:rsidRPr="0035416C">
        <w:rPr>
          <w:rFonts w:ascii="Gill Sans MT" w:hAnsi="Gill Sans MT"/>
          <w:b w:val="0"/>
          <w:bCs w:val="0"/>
          <w:sz w:val="16"/>
          <w:szCs w:val="16"/>
        </w:rPr>
        <w:t xml:space="preserve">, (B): </w:t>
      </w:r>
      <w:r w:rsidRPr="0035416C">
        <w:rPr>
          <w:rFonts w:ascii="Gill Sans MT" w:hAnsi="Gill Sans MT"/>
          <w:b w:val="0"/>
          <w:bCs w:val="0"/>
          <w:i/>
          <w:iCs/>
          <w:sz w:val="16"/>
          <w:szCs w:val="16"/>
        </w:rPr>
        <w:t>NRF-2</w:t>
      </w:r>
      <w:r w:rsidRPr="0035416C">
        <w:rPr>
          <w:rFonts w:ascii="Gill Sans MT" w:hAnsi="Gill Sans MT"/>
          <w:b w:val="0"/>
          <w:bCs w:val="0"/>
          <w:sz w:val="16"/>
          <w:szCs w:val="16"/>
        </w:rPr>
        <w:t xml:space="preserve">, (C): </w:t>
      </w:r>
      <w:r w:rsidRPr="0035416C">
        <w:rPr>
          <w:rFonts w:ascii="Gill Sans MT" w:hAnsi="Gill Sans MT"/>
          <w:b w:val="0"/>
          <w:bCs w:val="0"/>
          <w:i/>
          <w:iCs/>
          <w:sz w:val="16"/>
          <w:szCs w:val="16"/>
        </w:rPr>
        <w:t xml:space="preserve">Caspase-3, </w:t>
      </w:r>
      <w:r w:rsidRPr="0035416C">
        <w:rPr>
          <w:rFonts w:ascii="Gill Sans MT" w:hAnsi="Gill Sans MT"/>
          <w:b w:val="0"/>
          <w:bCs w:val="0"/>
          <w:sz w:val="16"/>
          <w:szCs w:val="16"/>
        </w:rPr>
        <w:t>(D):</w:t>
      </w:r>
      <w:r w:rsidRPr="0035416C">
        <w:rPr>
          <w:rFonts w:ascii="Gill Sans MT" w:hAnsi="Gill Sans MT"/>
          <w:b w:val="0"/>
          <w:bCs w:val="0"/>
          <w:i/>
          <w:iCs/>
          <w:sz w:val="16"/>
          <w:szCs w:val="16"/>
        </w:rPr>
        <w:t xml:space="preserve"> Bcl-2</w:t>
      </w:r>
      <w:r w:rsidRPr="0035416C">
        <w:rPr>
          <w:rFonts w:ascii="Gill Sans MT" w:hAnsi="Gill Sans MT"/>
          <w:b w:val="0"/>
          <w:bCs w:val="0"/>
          <w:sz w:val="16"/>
          <w:szCs w:val="16"/>
        </w:rPr>
        <w:t xml:space="preserve">, (E): </w:t>
      </w:r>
      <w:r w:rsidRPr="0035416C">
        <w:rPr>
          <w:rFonts w:ascii="Gill Sans MT" w:hAnsi="Gill Sans MT"/>
          <w:b w:val="0"/>
          <w:bCs w:val="0"/>
          <w:i/>
          <w:iCs/>
          <w:sz w:val="16"/>
          <w:szCs w:val="16"/>
        </w:rPr>
        <w:t>Bax</w:t>
      </w:r>
      <w:r w:rsidRPr="0035416C">
        <w:rPr>
          <w:rFonts w:ascii="Gill Sans MT" w:hAnsi="Gill Sans MT"/>
          <w:b w:val="0"/>
          <w:bCs w:val="0"/>
          <w:sz w:val="16"/>
          <w:szCs w:val="16"/>
        </w:rPr>
        <w:t xml:space="preserve">, (F): </w:t>
      </w:r>
      <w:r w:rsidRPr="0035416C">
        <w:rPr>
          <w:rFonts w:ascii="Gill Sans MT" w:hAnsi="Gill Sans MT"/>
          <w:b w:val="0"/>
          <w:bCs w:val="0"/>
          <w:i/>
          <w:iCs/>
          <w:sz w:val="16"/>
          <w:szCs w:val="16"/>
        </w:rPr>
        <w:t>Bcl-2</w:t>
      </w:r>
      <w:r w:rsidRPr="0035416C">
        <w:rPr>
          <w:rFonts w:ascii="Gill Sans MT" w:hAnsi="Gill Sans MT"/>
          <w:b w:val="0"/>
          <w:bCs w:val="0"/>
          <w:sz w:val="16"/>
          <w:szCs w:val="16"/>
        </w:rPr>
        <w:t>/</w:t>
      </w:r>
      <w:r w:rsidRPr="0035416C">
        <w:rPr>
          <w:rFonts w:ascii="Gill Sans MT" w:hAnsi="Gill Sans MT"/>
          <w:b w:val="0"/>
          <w:bCs w:val="0"/>
          <w:i/>
          <w:iCs/>
          <w:sz w:val="16"/>
          <w:szCs w:val="16"/>
        </w:rPr>
        <w:t xml:space="preserve">Bax </w:t>
      </w:r>
      <w:r w:rsidRPr="0035416C">
        <w:rPr>
          <w:rFonts w:ascii="Gill Sans MT" w:hAnsi="Gill Sans MT"/>
          <w:b w:val="0"/>
          <w:bCs w:val="0"/>
          <w:sz w:val="16"/>
          <w:szCs w:val="16"/>
        </w:rPr>
        <w:t>ratio. Different superscript letters indicate significant differences between treatments (P&lt; 0.05).</w:t>
      </w:r>
    </w:p>
    <w:p w14:paraId="3E1BE1B6" w14:textId="07C36DC3" w:rsidR="0035416C" w:rsidRDefault="0035416C" w:rsidP="002E425F">
      <w:pPr>
        <w:pStyle w:val="Heading3"/>
        <w:spacing w:before="0" w:after="0" w:line="244" w:lineRule="auto"/>
        <w:jc w:val="center"/>
        <w:rPr>
          <w:rFonts w:ascii="Times New Roman" w:hAnsi="Times New Roman"/>
          <w:sz w:val="20"/>
        </w:rPr>
      </w:pPr>
    </w:p>
    <w:p w14:paraId="6F56901A" w14:textId="77777777" w:rsidR="00D2343C" w:rsidRPr="00D2343C" w:rsidRDefault="00D2343C" w:rsidP="00D2343C">
      <w:pPr>
        <w:sectPr w:rsidR="00D2343C" w:rsidRPr="00D2343C" w:rsidSect="0035416C">
          <w:type w:val="continuous"/>
          <w:pgSz w:w="11909" w:h="16834" w:code="9"/>
          <w:pgMar w:top="1080" w:right="1080" w:bottom="1080" w:left="1080" w:header="720" w:footer="720" w:gutter="0"/>
          <w:cols w:space="360"/>
          <w:docGrid w:linePitch="360"/>
        </w:sectPr>
      </w:pPr>
    </w:p>
    <w:p w14:paraId="7D3106A9" w14:textId="1DA14DFB" w:rsidR="004E1701" w:rsidRPr="002E425F" w:rsidRDefault="004E1701" w:rsidP="002E425F">
      <w:pPr>
        <w:pStyle w:val="Heading3"/>
        <w:spacing w:before="0" w:after="0" w:line="244" w:lineRule="auto"/>
        <w:jc w:val="center"/>
        <w:rPr>
          <w:rFonts w:ascii="Times New Roman" w:hAnsi="Times New Roman"/>
          <w:spacing w:val="2"/>
          <w:sz w:val="20"/>
          <w:szCs w:val="20"/>
        </w:rPr>
      </w:pPr>
      <w:r w:rsidRPr="002E425F">
        <w:rPr>
          <w:rFonts w:ascii="Times New Roman" w:hAnsi="Times New Roman"/>
          <w:sz w:val="20"/>
        </w:rPr>
        <w:lastRenderedPageBreak/>
        <w:t>DISCUSSION</w:t>
      </w:r>
    </w:p>
    <w:p w14:paraId="0E39F84C" w14:textId="77777777" w:rsidR="004E1701" w:rsidRPr="0035416C" w:rsidRDefault="004E1701" w:rsidP="006A7DAE">
      <w:pPr>
        <w:spacing w:line="244" w:lineRule="auto"/>
        <w:jc w:val="both"/>
        <w:rPr>
          <w:b/>
          <w:sz w:val="20"/>
        </w:rPr>
      </w:pPr>
    </w:p>
    <w:p w14:paraId="2357F8A5" w14:textId="77777777" w:rsidR="006A7DAE" w:rsidRPr="002C7FC2" w:rsidRDefault="006A7DAE" w:rsidP="006A7DAE">
      <w:pPr>
        <w:adjustRightInd w:val="0"/>
        <w:snapToGrid w:val="0"/>
        <w:ind w:firstLineChars="200" w:firstLine="400"/>
        <w:jc w:val="both"/>
        <w:rPr>
          <w:sz w:val="20"/>
          <w:szCs w:val="20"/>
        </w:rPr>
      </w:pPr>
      <w:bookmarkStart w:id="13" w:name="_Hlk210171278"/>
      <w:r w:rsidRPr="002C7FC2">
        <w:rPr>
          <w:sz w:val="20"/>
          <w:szCs w:val="20"/>
        </w:rPr>
        <w:t>Dietary supplementation is commonly employed in intensive livestock production, particularly when enhanced animal growth and reproductive performance are required (</w:t>
      </w:r>
      <w:r w:rsidRPr="005F3854">
        <w:rPr>
          <w:color w:val="2E74B5" w:themeColor="accent1" w:themeShade="BF"/>
          <w:sz w:val="20"/>
          <w:szCs w:val="20"/>
        </w:rPr>
        <w:t>Wu</w:t>
      </w:r>
      <w:r w:rsidRPr="002C7FC2">
        <w:rPr>
          <w:sz w:val="20"/>
          <w:szCs w:val="20"/>
        </w:rPr>
        <w:t xml:space="preserve"> </w:t>
      </w:r>
      <w:r w:rsidRPr="002C7FC2">
        <w:rPr>
          <w:i/>
          <w:iCs/>
          <w:sz w:val="20"/>
          <w:szCs w:val="20"/>
        </w:rPr>
        <w:t>et al.</w:t>
      </w:r>
      <w:r w:rsidRPr="002C7FC2">
        <w:rPr>
          <w:sz w:val="20"/>
          <w:szCs w:val="20"/>
        </w:rPr>
        <w:t>, 2020). Inadequate nutrition has the potential to impair fertility and exert adverse effects on production economics (</w:t>
      </w:r>
      <w:r w:rsidRPr="00C62FFF">
        <w:rPr>
          <w:color w:val="2E74B5" w:themeColor="accent1" w:themeShade="BF"/>
          <w:sz w:val="20"/>
          <w:szCs w:val="20"/>
        </w:rPr>
        <w:t>Dong</w:t>
      </w:r>
      <w:r w:rsidRPr="002C7FC2">
        <w:rPr>
          <w:sz w:val="20"/>
          <w:szCs w:val="20"/>
        </w:rPr>
        <w:t xml:space="preserve"> </w:t>
      </w:r>
      <w:r w:rsidRPr="002C7FC2">
        <w:rPr>
          <w:i/>
          <w:iCs/>
          <w:sz w:val="20"/>
          <w:szCs w:val="20"/>
        </w:rPr>
        <w:t>et al.</w:t>
      </w:r>
      <w:r w:rsidRPr="002C7FC2">
        <w:rPr>
          <w:sz w:val="20"/>
          <w:szCs w:val="20"/>
        </w:rPr>
        <w:t>, 2016). Thus, incorporating key nutrients that are essential for spermatogenesis into the feed may contribute to the improvement of semen quality. These nutritional interventions are likely to improve the function of the reproductive axis in male rabbits, ultimately resulting in improved reproductive performance (</w:t>
      </w:r>
      <w:r w:rsidRPr="00C62FFF">
        <w:rPr>
          <w:color w:val="2E74B5" w:themeColor="accent1" w:themeShade="BF"/>
          <w:sz w:val="20"/>
          <w:szCs w:val="20"/>
        </w:rPr>
        <w:t>Blagojević</w:t>
      </w:r>
      <w:r w:rsidRPr="002C7FC2">
        <w:rPr>
          <w:sz w:val="20"/>
          <w:szCs w:val="20"/>
        </w:rPr>
        <w:t xml:space="preserve"> </w:t>
      </w:r>
      <w:r w:rsidRPr="002C7FC2">
        <w:rPr>
          <w:i/>
          <w:iCs/>
          <w:sz w:val="20"/>
          <w:szCs w:val="20"/>
        </w:rPr>
        <w:t>et al.</w:t>
      </w:r>
      <w:r w:rsidRPr="002C7FC2">
        <w:rPr>
          <w:sz w:val="20"/>
          <w:szCs w:val="20"/>
        </w:rPr>
        <w:t>, 2024). Numerous studies have demonstrated that supplemented diets containing antioxidants, trace elements, omega-3 fatty acids, and other bioactive compounds can positively influence buck semen quality, including sperm motility, viability, and DNA integrity (</w:t>
      </w:r>
      <w:proofErr w:type="spellStart"/>
      <w:r w:rsidRPr="00C62FFF">
        <w:rPr>
          <w:color w:val="2E74B5" w:themeColor="accent1" w:themeShade="BF"/>
          <w:sz w:val="20"/>
          <w:szCs w:val="20"/>
        </w:rPr>
        <w:t>Díaz</w:t>
      </w:r>
      <w:proofErr w:type="spellEnd"/>
      <w:r w:rsidRPr="00C62FFF">
        <w:rPr>
          <w:color w:val="2E74B5" w:themeColor="accent1" w:themeShade="BF"/>
          <w:sz w:val="20"/>
          <w:szCs w:val="20"/>
        </w:rPr>
        <w:t>-Cano</w:t>
      </w:r>
      <w:r w:rsidRPr="002C7FC2">
        <w:rPr>
          <w:sz w:val="20"/>
          <w:szCs w:val="20"/>
        </w:rPr>
        <w:t xml:space="preserve"> </w:t>
      </w:r>
      <w:r w:rsidRPr="002C7FC2">
        <w:rPr>
          <w:i/>
          <w:iCs/>
          <w:sz w:val="20"/>
          <w:szCs w:val="20"/>
        </w:rPr>
        <w:t>et al.</w:t>
      </w:r>
      <w:r w:rsidRPr="002C7FC2">
        <w:rPr>
          <w:sz w:val="20"/>
          <w:szCs w:val="20"/>
        </w:rPr>
        <w:t xml:space="preserve">, 2021; </w:t>
      </w:r>
      <w:r w:rsidRPr="00C62FFF">
        <w:rPr>
          <w:color w:val="2E74B5" w:themeColor="accent1" w:themeShade="BF"/>
          <w:sz w:val="20"/>
          <w:szCs w:val="20"/>
        </w:rPr>
        <w:t>El-Ratel</w:t>
      </w:r>
      <w:r w:rsidRPr="002C7FC2">
        <w:rPr>
          <w:sz w:val="20"/>
          <w:szCs w:val="20"/>
        </w:rPr>
        <w:t xml:space="preserve"> </w:t>
      </w:r>
      <w:r w:rsidRPr="002C7FC2">
        <w:rPr>
          <w:i/>
          <w:iCs/>
          <w:sz w:val="20"/>
          <w:szCs w:val="20"/>
        </w:rPr>
        <w:t>et al.</w:t>
      </w:r>
      <w:r w:rsidRPr="002C7FC2">
        <w:rPr>
          <w:sz w:val="20"/>
          <w:szCs w:val="20"/>
        </w:rPr>
        <w:t xml:space="preserve">, 2021; </w:t>
      </w:r>
      <w:proofErr w:type="spellStart"/>
      <w:r w:rsidRPr="00C62FFF">
        <w:rPr>
          <w:color w:val="2E74B5" w:themeColor="accent1" w:themeShade="BF"/>
          <w:sz w:val="20"/>
          <w:szCs w:val="20"/>
        </w:rPr>
        <w:t>Dhaigude</w:t>
      </w:r>
      <w:proofErr w:type="spellEnd"/>
      <w:r w:rsidRPr="002C7FC2">
        <w:rPr>
          <w:sz w:val="20"/>
          <w:szCs w:val="20"/>
        </w:rPr>
        <w:t xml:space="preserve"> </w:t>
      </w:r>
      <w:r w:rsidRPr="002C7FC2">
        <w:rPr>
          <w:i/>
          <w:iCs/>
          <w:sz w:val="20"/>
          <w:szCs w:val="20"/>
        </w:rPr>
        <w:t>et al.</w:t>
      </w:r>
      <w:r w:rsidRPr="002C7FC2">
        <w:rPr>
          <w:sz w:val="20"/>
          <w:szCs w:val="20"/>
        </w:rPr>
        <w:t>, 2025). In the present study, LC300 supplementation exerted significant beneficial effects, not only increasing semen volume, sperm concentration, improving total and progressive sperm motility but also improving sperm kinematic parameters such as VCL, VAP, BCF, ALH, STR, and LIN.</w:t>
      </w:r>
    </w:p>
    <w:p w14:paraId="00EA9EF9" w14:textId="77777777" w:rsidR="006A7DAE" w:rsidRPr="002C7FC2" w:rsidRDefault="006A7DAE" w:rsidP="006A7DAE">
      <w:pPr>
        <w:adjustRightInd w:val="0"/>
        <w:snapToGrid w:val="0"/>
        <w:ind w:firstLineChars="180" w:firstLine="360"/>
        <w:jc w:val="both"/>
        <w:rPr>
          <w:sz w:val="20"/>
          <w:szCs w:val="20"/>
        </w:rPr>
      </w:pPr>
      <w:r w:rsidRPr="002C7FC2">
        <w:rPr>
          <w:sz w:val="20"/>
          <w:szCs w:val="20"/>
        </w:rPr>
        <w:t>Overproduction of ROS, triggered by physiological or environmental factors, impairs male fertility by causing oxidative stress, sperm DNA damage, and membrane dysfunction, ultimately compromising reproductive performance (</w:t>
      </w:r>
      <w:r w:rsidRPr="00C62FFF">
        <w:rPr>
          <w:color w:val="2E74B5" w:themeColor="accent1" w:themeShade="BF"/>
          <w:sz w:val="20"/>
          <w:szCs w:val="20"/>
        </w:rPr>
        <w:t>Martin-Hidalgo</w:t>
      </w:r>
      <w:r w:rsidRPr="002C7FC2">
        <w:rPr>
          <w:sz w:val="20"/>
          <w:szCs w:val="20"/>
        </w:rPr>
        <w:t xml:space="preserve"> </w:t>
      </w:r>
      <w:r w:rsidRPr="002C7FC2">
        <w:rPr>
          <w:i/>
          <w:iCs/>
          <w:sz w:val="20"/>
          <w:szCs w:val="20"/>
        </w:rPr>
        <w:t>et al.</w:t>
      </w:r>
      <w:r w:rsidRPr="002C7FC2">
        <w:rPr>
          <w:sz w:val="20"/>
          <w:szCs w:val="20"/>
        </w:rPr>
        <w:t>, 2019). To address the imbalance between natural defense systems of the body and ROS and improve fertility, antioxidants play a key role in restoring balance and reducing oxidative damage (</w:t>
      </w:r>
      <w:r w:rsidRPr="00C62FFF">
        <w:rPr>
          <w:color w:val="2E74B5" w:themeColor="accent1" w:themeShade="BF"/>
          <w:sz w:val="20"/>
          <w:szCs w:val="20"/>
        </w:rPr>
        <w:t>Cilio</w:t>
      </w:r>
      <w:r w:rsidRPr="002C7FC2">
        <w:rPr>
          <w:sz w:val="20"/>
          <w:szCs w:val="20"/>
        </w:rPr>
        <w:t xml:space="preserve"> </w:t>
      </w:r>
      <w:r w:rsidRPr="002C7FC2">
        <w:rPr>
          <w:i/>
          <w:iCs/>
          <w:sz w:val="20"/>
          <w:szCs w:val="20"/>
        </w:rPr>
        <w:t>et al.</w:t>
      </w:r>
      <w:r w:rsidRPr="002C7FC2">
        <w:rPr>
          <w:sz w:val="20"/>
          <w:szCs w:val="20"/>
        </w:rPr>
        <w:t>, 2022). Commonly used antioxidants are divided into enzymatic (such as SOD, GSH-</w:t>
      </w:r>
      <w:proofErr w:type="spellStart"/>
      <w:r w:rsidRPr="002C7FC2">
        <w:rPr>
          <w:sz w:val="20"/>
          <w:szCs w:val="20"/>
        </w:rPr>
        <w:t>Px</w:t>
      </w:r>
      <w:proofErr w:type="spellEnd"/>
      <w:r w:rsidRPr="002C7FC2">
        <w:rPr>
          <w:sz w:val="20"/>
          <w:szCs w:val="20"/>
        </w:rPr>
        <w:t xml:space="preserve"> and CAT, which catalyzes the dismutation of superoxide radicals) and non-enzymatic, such as</w:t>
      </w:r>
      <w:r w:rsidRPr="002C7FC2">
        <w:rPr>
          <w:rStyle w:val="CommentReference"/>
          <w:sz w:val="20"/>
          <w:szCs w:val="20"/>
        </w:rPr>
        <w:t xml:space="preserve"> V</w:t>
      </w:r>
      <w:r w:rsidRPr="002C7FC2">
        <w:rPr>
          <w:sz w:val="20"/>
          <w:szCs w:val="20"/>
        </w:rPr>
        <w:t>itamin C, Vitamin E, which are endogenous or dietary free radical scavengers (</w:t>
      </w:r>
      <w:r w:rsidRPr="00C62FFF">
        <w:rPr>
          <w:color w:val="2E74B5" w:themeColor="accent1" w:themeShade="BF"/>
          <w:sz w:val="20"/>
          <w:szCs w:val="20"/>
        </w:rPr>
        <w:t>Cilio</w:t>
      </w:r>
      <w:r w:rsidRPr="002C7FC2">
        <w:rPr>
          <w:sz w:val="20"/>
          <w:szCs w:val="20"/>
        </w:rPr>
        <w:t xml:space="preserve"> </w:t>
      </w:r>
      <w:r w:rsidRPr="002C7FC2">
        <w:rPr>
          <w:i/>
          <w:iCs/>
          <w:sz w:val="20"/>
          <w:szCs w:val="20"/>
        </w:rPr>
        <w:t>et al.</w:t>
      </w:r>
      <w:r w:rsidRPr="002C7FC2">
        <w:rPr>
          <w:sz w:val="20"/>
          <w:szCs w:val="20"/>
        </w:rPr>
        <w:t>, 2022). L-carnitine (LC) is a powerful free radical scavenger and can regulate mitochondrial β-oxidation, thereby reduce ROS production and enhances endogenous antioxidant defenses of the body in mammals (</w:t>
      </w:r>
      <w:r w:rsidRPr="00C62FFF">
        <w:rPr>
          <w:color w:val="2E74B5" w:themeColor="accent1" w:themeShade="BF"/>
          <w:sz w:val="20"/>
          <w:szCs w:val="20"/>
        </w:rPr>
        <w:t>Vaz</w:t>
      </w:r>
      <w:r w:rsidRPr="002C7FC2">
        <w:rPr>
          <w:sz w:val="20"/>
          <w:szCs w:val="20"/>
        </w:rPr>
        <w:t xml:space="preserve"> </w:t>
      </w:r>
      <w:r w:rsidRPr="002C7FC2">
        <w:rPr>
          <w:i/>
          <w:iCs/>
          <w:sz w:val="20"/>
          <w:szCs w:val="20"/>
        </w:rPr>
        <w:t>et al.</w:t>
      </w:r>
      <w:r w:rsidRPr="002C7FC2">
        <w:rPr>
          <w:sz w:val="20"/>
          <w:szCs w:val="20"/>
        </w:rPr>
        <w:t xml:space="preserve">, 2002; </w:t>
      </w:r>
      <w:r w:rsidRPr="00C62FFF">
        <w:rPr>
          <w:color w:val="2E74B5" w:themeColor="accent1" w:themeShade="BF"/>
          <w:sz w:val="20"/>
          <w:szCs w:val="20"/>
        </w:rPr>
        <w:t>Neuman</w:t>
      </w:r>
      <w:r w:rsidRPr="002C7FC2">
        <w:rPr>
          <w:sz w:val="20"/>
          <w:szCs w:val="20"/>
        </w:rPr>
        <w:t xml:space="preserve"> </w:t>
      </w:r>
      <w:r w:rsidRPr="002C7FC2">
        <w:rPr>
          <w:i/>
          <w:iCs/>
          <w:sz w:val="20"/>
          <w:szCs w:val="20"/>
        </w:rPr>
        <w:t>et al.</w:t>
      </w:r>
      <w:r w:rsidRPr="002C7FC2">
        <w:rPr>
          <w:sz w:val="20"/>
          <w:szCs w:val="20"/>
        </w:rPr>
        <w:t>, 2002) It is mainly sourced 75% from diet (such as meat, milk, fish) and 25% from endogenous synthesis in the liver and kidneys using amino acids. Studies indicate that stress, vegetarian diets, or excessive exercise may reduce LC synthesis, potentially causing muscle weakness, metabolic disorders, and reproductive dysfunction (</w:t>
      </w:r>
      <w:proofErr w:type="spellStart"/>
      <w:r w:rsidRPr="00C62FFF">
        <w:rPr>
          <w:color w:val="2E74B5" w:themeColor="accent1" w:themeShade="BF"/>
          <w:sz w:val="20"/>
          <w:szCs w:val="20"/>
        </w:rPr>
        <w:t>Karlic</w:t>
      </w:r>
      <w:proofErr w:type="spellEnd"/>
      <w:r w:rsidRPr="002C7FC2">
        <w:rPr>
          <w:sz w:val="20"/>
          <w:szCs w:val="20"/>
        </w:rPr>
        <w:t xml:space="preserve"> and </w:t>
      </w:r>
      <w:proofErr w:type="spellStart"/>
      <w:r w:rsidRPr="002C7FC2">
        <w:rPr>
          <w:sz w:val="20"/>
          <w:szCs w:val="20"/>
        </w:rPr>
        <w:t>Lohninger</w:t>
      </w:r>
      <w:proofErr w:type="spellEnd"/>
      <w:r w:rsidRPr="002C7FC2">
        <w:rPr>
          <w:sz w:val="20"/>
          <w:szCs w:val="20"/>
        </w:rPr>
        <w:t xml:space="preserve">, 2004; </w:t>
      </w:r>
      <w:proofErr w:type="spellStart"/>
      <w:r w:rsidRPr="00C62FFF">
        <w:rPr>
          <w:color w:val="2E74B5" w:themeColor="accent1" w:themeShade="BF"/>
          <w:sz w:val="20"/>
          <w:szCs w:val="20"/>
        </w:rPr>
        <w:t>Pekala</w:t>
      </w:r>
      <w:proofErr w:type="spellEnd"/>
      <w:r w:rsidRPr="002C7FC2">
        <w:rPr>
          <w:sz w:val="20"/>
          <w:szCs w:val="20"/>
        </w:rPr>
        <w:t xml:space="preserve"> </w:t>
      </w:r>
      <w:r w:rsidRPr="002C7FC2">
        <w:rPr>
          <w:i/>
          <w:iCs/>
          <w:sz w:val="20"/>
          <w:szCs w:val="20"/>
        </w:rPr>
        <w:t>et al.</w:t>
      </w:r>
      <w:r w:rsidRPr="002C7FC2">
        <w:rPr>
          <w:sz w:val="20"/>
          <w:szCs w:val="20"/>
        </w:rPr>
        <w:t>, 2011). The content of free LC in seminal plasma is positively correlated with sperm count and motility (</w:t>
      </w:r>
      <w:proofErr w:type="spellStart"/>
      <w:r w:rsidRPr="00C62FFF">
        <w:rPr>
          <w:color w:val="2E74B5" w:themeColor="accent1" w:themeShade="BF"/>
          <w:sz w:val="20"/>
          <w:szCs w:val="20"/>
        </w:rPr>
        <w:t>Jeulin</w:t>
      </w:r>
      <w:proofErr w:type="spellEnd"/>
      <w:r w:rsidRPr="002C7FC2">
        <w:rPr>
          <w:sz w:val="20"/>
          <w:szCs w:val="20"/>
        </w:rPr>
        <w:t xml:space="preserve"> and Lewin, 1996). In the present study, the activity of antioxidant enzymes in seminal plasma and sperm increased to varying degrees in all LC treatment groups, while ROS levels decreased significantly. The effect was most obvious in the 300mg/kg LC group, where the activities of SOD, CAT, and GSH-</w:t>
      </w:r>
      <w:proofErr w:type="spellStart"/>
      <w:r w:rsidRPr="002C7FC2">
        <w:rPr>
          <w:sz w:val="20"/>
          <w:szCs w:val="20"/>
        </w:rPr>
        <w:t>Px</w:t>
      </w:r>
      <w:proofErr w:type="spellEnd"/>
      <w:r w:rsidRPr="002C7FC2">
        <w:rPr>
          <w:sz w:val="20"/>
          <w:szCs w:val="20"/>
        </w:rPr>
        <w:t xml:space="preserve"> increased significantly compared to LC0 group (P&lt;0.05), indicating enhanced enzymatic antioxidant capacity. In addition, in each LC treatment group, the increase in antioxidant enzyme activity and the decrease in ROS were closely associated with varying degrees of improvement in semen quality parameters, confirming a link between LC </w:t>
      </w:r>
      <w:r w:rsidRPr="002C7FC2">
        <w:rPr>
          <w:sz w:val="20"/>
          <w:szCs w:val="20"/>
        </w:rPr>
        <w:lastRenderedPageBreak/>
        <w:t xml:space="preserve">supplementation, redox regulation, and improved reproductive performance. </w:t>
      </w:r>
    </w:p>
    <w:p w14:paraId="43E15F71" w14:textId="77777777" w:rsidR="006A7DAE" w:rsidRPr="002C7FC2" w:rsidRDefault="006A7DAE" w:rsidP="006A7DAE">
      <w:pPr>
        <w:adjustRightInd w:val="0"/>
        <w:snapToGrid w:val="0"/>
        <w:ind w:firstLineChars="180" w:firstLine="360"/>
        <w:jc w:val="both"/>
        <w:rPr>
          <w:sz w:val="20"/>
          <w:szCs w:val="20"/>
        </w:rPr>
      </w:pPr>
      <w:r w:rsidRPr="002C7FC2">
        <w:rPr>
          <w:i/>
          <w:iCs/>
          <w:sz w:val="20"/>
          <w:szCs w:val="20"/>
        </w:rPr>
        <w:t>NRF-2</w:t>
      </w:r>
      <w:r w:rsidRPr="002C7FC2">
        <w:rPr>
          <w:sz w:val="20"/>
          <w:szCs w:val="20"/>
        </w:rPr>
        <w:t xml:space="preserve"> serves as a master regulator of endogenous antioxidant responses, orchestrating a gene network essential for maintaining cellular redox homeostasis (</w:t>
      </w:r>
      <w:r w:rsidRPr="00C62FFF">
        <w:rPr>
          <w:color w:val="2E74B5" w:themeColor="accent1" w:themeShade="BF"/>
          <w:sz w:val="20"/>
          <w:szCs w:val="20"/>
        </w:rPr>
        <w:t>Signorini</w:t>
      </w:r>
      <w:r w:rsidRPr="002C7FC2">
        <w:rPr>
          <w:sz w:val="20"/>
          <w:szCs w:val="20"/>
        </w:rPr>
        <w:t xml:space="preserve"> </w:t>
      </w:r>
      <w:r w:rsidRPr="002C7FC2">
        <w:rPr>
          <w:i/>
          <w:iCs/>
          <w:sz w:val="20"/>
          <w:szCs w:val="20"/>
        </w:rPr>
        <w:t>et al.</w:t>
      </w:r>
      <w:r w:rsidRPr="002C7FC2">
        <w:rPr>
          <w:sz w:val="20"/>
          <w:szCs w:val="20"/>
        </w:rPr>
        <w:t xml:space="preserve">, 2024). Under oxidative stress, </w:t>
      </w:r>
      <w:r w:rsidRPr="002C7FC2">
        <w:rPr>
          <w:i/>
          <w:iCs/>
          <w:sz w:val="20"/>
          <w:szCs w:val="20"/>
        </w:rPr>
        <w:t>NRF-2</w:t>
      </w:r>
      <w:r w:rsidRPr="002C7FC2">
        <w:rPr>
          <w:sz w:val="20"/>
          <w:szCs w:val="20"/>
        </w:rPr>
        <w:t xml:space="preserve"> dissociates from its cytoplasmic repressor </w:t>
      </w:r>
      <w:r w:rsidRPr="002C7FC2">
        <w:rPr>
          <w:i/>
          <w:iCs/>
          <w:sz w:val="20"/>
          <w:szCs w:val="20"/>
        </w:rPr>
        <w:t>KEAP-1</w:t>
      </w:r>
      <w:r w:rsidRPr="002C7FC2">
        <w:rPr>
          <w:sz w:val="20"/>
          <w:szCs w:val="20"/>
        </w:rPr>
        <w:t xml:space="preserve">, </w:t>
      </w:r>
      <w:proofErr w:type="spellStart"/>
      <w:r w:rsidRPr="002C7FC2">
        <w:rPr>
          <w:sz w:val="20"/>
          <w:szCs w:val="20"/>
        </w:rPr>
        <w:t>translocates</w:t>
      </w:r>
      <w:proofErr w:type="spellEnd"/>
      <w:r w:rsidRPr="002C7FC2">
        <w:rPr>
          <w:sz w:val="20"/>
          <w:szCs w:val="20"/>
        </w:rPr>
        <w:t xml:space="preserve"> to the nucleus, and binds antioxidant response elements (AREs). This activates downstream cytoprotective genes, including heme oxygenase-1 (</w:t>
      </w:r>
      <w:r w:rsidRPr="002C7FC2">
        <w:rPr>
          <w:i/>
          <w:iCs/>
          <w:sz w:val="20"/>
          <w:szCs w:val="20"/>
        </w:rPr>
        <w:t>HO-1</w:t>
      </w:r>
      <w:r w:rsidRPr="002C7FC2">
        <w:rPr>
          <w:sz w:val="20"/>
          <w:szCs w:val="20"/>
        </w:rPr>
        <w:t>), enhancing ROS scavenging capacity and mitigating oxidative damage (</w:t>
      </w:r>
      <w:r w:rsidRPr="00C62FFF">
        <w:rPr>
          <w:color w:val="2E74B5" w:themeColor="accent1" w:themeShade="BF"/>
          <w:sz w:val="20"/>
          <w:szCs w:val="20"/>
        </w:rPr>
        <w:t>Kensler</w:t>
      </w:r>
      <w:r w:rsidRPr="002C7FC2">
        <w:rPr>
          <w:sz w:val="20"/>
          <w:szCs w:val="20"/>
        </w:rPr>
        <w:t xml:space="preserve"> </w:t>
      </w:r>
      <w:r w:rsidRPr="002C7FC2">
        <w:rPr>
          <w:i/>
          <w:iCs/>
          <w:sz w:val="20"/>
          <w:szCs w:val="20"/>
        </w:rPr>
        <w:t>et al.</w:t>
      </w:r>
      <w:r w:rsidRPr="002C7FC2">
        <w:rPr>
          <w:sz w:val="20"/>
          <w:szCs w:val="20"/>
        </w:rPr>
        <w:t xml:space="preserve">, 2007). Critically, reduced </w:t>
      </w:r>
      <w:r w:rsidRPr="002C7FC2">
        <w:rPr>
          <w:i/>
          <w:iCs/>
          <w:sz w:val="20"/>
          <w:szCs w:val="20"/>
        </w:rPr>
        <w:t>NRF-2</w:t>
      </w:r>
      <w:r w:rsidRPr="002C7FC2">
        <w:rPr>
          <w:sz w:val="20"/>
          <w:szCs w:val="20"/>
        </w:rPr>
        <w:t xml:space="preserve"> expression in sperm from oligospermic patients underscores its pivotal role in spermatogenesis and male fertility (</w:t>
      </w:r>
      <w:r w:rsidRPr="00C62FFF">
        <w:rPr>
          <w:color w:val="2E74B5" w:themeColor="accent1" w:themeShade="BF"/>
          <w:sz w:val="20"/>
          <w:szCs w:val="20"/>
        </w:rPr>
        <w:t>Han</w:t>
      </w:r>
      <w:r w:rsidRPr="002C7FC2">
        <w:rPr>
          <w:sz w:val="20"/>
          <w:szCs w:val="20"/>
        </w:rPr>
        <w:t xml:space="preserve"> </w:t>
      </w:r>
      <w:r w:rsidRPr="002C7FC2">
        <w:rPr>
          <w:i/>
          <w:iCs/>
          <w:sz w:val="20"/>
          <w:szCs w:val="20"/>
        </w:rPr>
        <w:t>et al.</w:t>
      </w:r>
      <w:r w:rsidRPr="002C7FC2">
        <w:rPr>
          <w:sz w:val="20"/>
          <w:szCs w:val="20"/>
        </w:rPr>
        <w:t xml:space="preserve">, 2022; </w:t>
      </w:r>
      <w:proofErr w:type="spellStart"/>
      <w:r w:rsidRPr="00C62FFF">
        <w:rPr>
          <w:color w:val="2E74B5" w:themeColor="accent1" w:themeShade="BF"/>
          <w:sz w:val="20"/>
          <w:szCs w:val="20"/>
        </w:rPr>
        <w:t>Ghareghomi</w:t>
      </w:r>
      <w:proofErr w:type="spellEnd"/>
      <w:r w:rsidRPr="002C7FC2">
        <w:rPr>
          <w:sz w:val="20"/>
          <w:szCs w:val="20"/>
        </w:rPr>
        <w:t xml:space="preserve"> </w:t>
      </w:r>
      <w:r w:rsidRPr="002C7FC2">
        <w:rPr>
          <w:i/>
          <w:iCs/>
          <w:sz w:val="20"/>
          <w:szCs w:val="20"/>
        </w:rPr>
        <w:t>et al.</w:t>
      </w:r>
      <w:r w:rsidRPr="002C7FC2">
        <w:rPr>
          <w:sz w:val="20"/>
          <w:szCs w:val="20"/>
        </w:rPr>
        <w:t xml:space="preserve">, 2022). LC counteracts oxidative stress partly through </w:t>
      </w:r>
      <w:r w:rsidRPr="002C7FC2">
        <w:rPr>
          <w:i/>
          <w:iCs/>
          <w:sz w:val="20"/>
          <w:szCs w:val="20"/>
        </w:rPr>
        <w:t>NRF-2</w:t>
      </w:r>
      <w:r w:rsidRPr="002C7FC2">
        <w:rPr>
          <w:sz w:val="20"/>
          <w:szCs w:val="20"/>
        </w:rPr>
        <w:t xml:space="preserve"> interaction (</w:t>
      </w:r>
      <w:proofErr w:type="spellStart"/>
      <w:r w:rsidRPr="00C62FFF">
        <w:rPr>
          <w:color w:val="2E74B5" w:themeColor="accent1" w:themeShade="BF"/>
          <w:sz w:val="20"/>
          <w:szCs w:val="20"/>
        </w:rPr>
        <w:t>Aydos</w:t>
      </w:r>
      <w:proofErr w:type="spellEnd"/>
      <w:r w:rsidRPr="002C7FC2">
        <w:rPr>
          <w:sz w:val="20"/>
          <w:szCs w:val="20"/>
        </w:rPr>
        <w:t xml:space="preserve"> </w:t>
      </w:r>
      <w:r w:rsidRPr="002C7FC2">
        <w:rPr>
          <w:i/>
          <w:iCs/>
          <w:sz w:val="20"/>
          <w:szCs w:val="20"/>
        </w:rPr>
        <w:t>et al.</w:t>
      </w:r>
      <w:r w:rsidRPr="002C7FC2">
        <w:rPr>
          <w:sz w:val="20"/>
          <w:szCs w:val="20"/>
        </w:rPr>
        <w:t>, 2021). By activating this pathway, LC upregulates genes involved in ROS elimination, improving spermatogenesis, sperm motility, and DNA repair, thereby supporting male reproductive function (</w:t>
      </w:r>
      <w:r w:rsidRPr="00C62FFF">
        <w:rPr>
          <w:color w:val="2E74B5" w:themeColor="accent1" w:themeShade="BF"/>
          <w:sz w:val="20"/>
          <w:szCs w:val="20"/>
        </w:rPr>
        <w:t>Cao</w:t>
      </w:r>
      <w:r w:rsidRPr="002C7FC2">
        <w:rPr>
          <w:sz w:val="20"/>
          <w:szCs w:val="20"/>
        </w:rPr>
        <w:t xml:space="preserve"> </w:t>
      </w:r>
      <w:r w:rsidRPr="002C7FC2">
        <w:rPr>
          <w:i/>
          <w:iCs/>
          <w:sz w:val="20"/>
          <w:szCs w:val="20"/>
        </w:rPr>
        <w:t>et al.</w:t>
      </w:r>
      <w:r w:rsidRPr="002C7FC2">
        <w:rPr>
          <w:sz w:val="20"/>
          <w:szCs w:val="20"/>
        </w:rPr>
        <w:t xml:space="preserve">, 2015; </w:t>
      </w:r>
      <w:r w:rsidRPr="00C62FFF">
        <w:rPr>
          <w:color w:val="2E74B5" w:themeColor="accent1" w:themeShade="BF"/>
          <w:sz w:val="20"/>
          <w:szCs w:val="20"/>
        </w:rPr>
        <w:t>Han</w:t>
      </w:r>
      <w:r w:rsidRPr="002C7FC2">
        <w:rPr>
          <w:sz w:val="20"/>
          <w:szCs w:val="20"/>
        </w:rPr>
        <w:t xml:space="preserve"> </w:t>
      </w:r>
      <w:r w:rsidRPr="002C7FC2">
        <w:rPr>
          <w:i/>
          <w:iCs/>
          <w:sz w:val="20"/>
          <w:szCs w:val="20"/>
        </w:rPr>
        <w:t>et al.</w:t>
      </w:r>
      <w:r w:rsidRPr="002C7FC2">
        <w:rPr>
          <w:sz w:val="20"/>
          <w:szCs w:val="20"/>
        </w:rPr>
        <w:t xml:space="preserve">, 2022). Supporting this mechanism, it has been demonstrated that LC treatment elevates </w:t>
      </w:r>
      <w:r w:rsidRPr="002C7FC2">
        <w:rPr>
          <w:i/>
          <w:iCs/>
          <w:sz w:val="20"/>
          <w:szCs w:val="20"/>
        </w:rPr>
        <w:t>NRF-2</w:t>
      </w:r>
      <w:r w:rsidRPr="002C7FC2">
        <w:rPr>
          <w:sz w:val="20"/>
          <w:szCs w:val="20"/>
        </w:rPr>
        <w:t xml:space="preserve">, HO-1, and γ-glutamyl cysteine synthetase (γ-GCS) while suppressing </w:t>
      </w:r>
      <w:r w:rsidRPr="002C7FC2">
        <w:rPr>
          <w:i/>
          <w:iCs/>
          <w:sz w:val="20"/>
          <w:szCs w:val="20"/>
        </w:rPr>
        <w:t>KEAP-1</w:t>
      </w:r>
      <w:r w:rsidRPr="002C7FC2">
        <w:rPr>
          <w:sz w:val="20"/>
          <w:szCs w:val="20"/>
        </w:rPr>
        <w:t xml:space="preserve"> expression in retinal cells, indicating that LC modulates the </w:t>
      </w:r>
      <w:r w:rsidRPr="002C7FC2">
        <w:rPr>
          <w:i/>
          <w:iCs/>
          <w:sz w:val="20"/>
          <w:szCs w:val="20"/>
        </w:rPr>
        <w:t>KEAP-1-NRF-2</w:t>
      </w:r>
      <w:r w:rsidRPr="002C7FC2">
        <w:rPr>
          <w:sz w:val="20"/>
          <w:szCs w:val="20"/>
        </w:rPr>
        <w:t xml:space="preserve"> axis to improve antioxidant defenses (</w:t>
      </w:r>
      <w:r w:rsidRPr="00C62FFF">
        <w:rPr>
          <w:color w:val="2E74B5" w:themeColor="accent1" w:themeShade="BF"/>
          <w:sz w:val="20"/>
          <w:szCs w:val="20"/>
        </w:rPr>
        <w:t>Cao</w:t>
      </w:r>
      <w:r w:rsidRPr="002C7FC2">
        <w:rPr>
          <w:sz w:val="20"/>
          <w:szCs w:val="20"/>
        </w:rPr>
        <w:t xml:space="preserve"> </w:t>
      </w:r>
      <w:r w:rsidRPr="002C7FC2">
        <w:rPr>
          <w:i/>
          <w:iCs/>
          <w:sz w:val="20"/>
          <w:szCs w:val="20"/>
        </w:rPr>
        <w:t>et al.</w:t>
      </w:r>
      <w:r w:rsidRPr="002C7FC2">
        <w:rPr>
          <w:sz w:val="20"/>
          <w:szCs w:val="20"/>
        </w:rPr>
        <w:t xml:space="preserve">, 2015; </w:t>
      </w:r>
      <w:proofErr w:type="spellStart"/>
      <w:r w:rsidRPr="00C62FFF">
        <w:rPr>
          <w:color w:val="2E74B5" w:themeColor="accent1" w:themeShade="BF"/>
          <w:sz w:val="20"/>
          <w:szCs w:val="20"/>
        </w:rPr>
        <w:t>Aydos</w:t>
      </w:r>
      <w:proofErr w:type="spellEnd"/>
      <w:r w:rsidRPr="002C7FC2">
        <w:rPr>
          <w:sz w:val="20"/>
          <w:szCs w:val="20"/>
        </w:rPr>
        <w:t xml:space="preserve"> </w:t>
      </w:r>
      <w:r w:rsidRPr="002C7FC2">
        <w:rPr>
          <w:i/>
          <w:iCs/>
          <w:sz w:val="20"/>
          <w:szCs w:val="20"/>
        </w:rPr>
        <w:t>et al.</w:t>
      </w:r>
      <w:r w:rsidRPr="002C7FC2">
        <w:rPr>
          <w:sz w:val="20"/>
          <w:szCs w:val="20"/>
        </w:rPr>
        <w:t xml:space="preserve">, 2021). Consistent with this, our study found LC300 supplementation significantly upregulated both </w:t>
      </w:r>
      <w:r w:rsidRPr="002C7FC2">
        <w:rPr>
          <w:i/>
          <w:iCs/>
          <w:sz w:val="20"/>
          <w:szCs w:val="20"/>
        </w:rPr>
        <w:t>NRF-2</w:t>
      </w:r>
      <w:r w:rsidRPr="002C7FC2">
        <w:rPr>
          <w:sz w:val="20"/>
          <w:szCs w:val="20"/>
        </w:rPr>
        <w:t xml:space="preserve"> and </w:t>
      </w:r>
      <w:r w:rsidRPr="002C7FC2">
        <w:rPr>
          <w:i/>
          <w:iCs/>
          <w:sz w:val="20"/>
          <w:szCs w:val="20"/>
        </w:rPr>
        <w:t>KEAP-1</w:t>
      </w:r>
      <w:r w:rsidRPr="002C7FC2">
        <w:rPr>
          <w:sz w:val="20"/>
          <w:szCs w:val="20"/>
        </w:rPr>
        <w:t xml:space="preserve"> mRNA expression in sperm. It appears that sustained </w:t>
      </w:r>
      <w:r w:rsidRPr="002C7FC2">
        <w:rPr>
          <w:i/>
          <w:iCs/>
          <w:sz w:val="20"/>
          <w:szCs w:val="20"/>
        </w:rPr>
        <w:t>NRF-2</w:t>
      </w:r>
      <w:r w:rsidRPr="002C7FC2">
        <w:rPr>
          <w:sz w:val="20"/>
          <w:szCs w:val="20"/>
        </w:rPr>
        <w:t xml:space="preserve"> activation under LC300 may induce compensatory </w:t>
      </w:r>
      <w:r w:rsidRPr="002C7FC2">
        <w:rPr>
          <w:i/>
          <w:iCs/>
          <w:sz w:val="20"/>
          <w:szCs w:val="20"/>
        </w:rPr>
        <w:t>KEAP-1</w:t>
      </w:r>
      <w:r w:rsidRPr="002C7FC2">
        <w:rPr>
          <w:sz w:val="20"/>
          <w:szCs w:val="20"/>
        </w:rPr>
        <w:t xml:space="preserve"> upregulation via feedback mechanisms involving other transcription factors, ultimately maintaining redox homeostasis (</w:t>
      </w:r>
      <w:r w:rsidRPr="005F3854">
        <w:rPr>
          <w:color w:val="2E74B5" w:themeColor="accent1" w:themeShade="BF"/>
          <w:sz w:val="20"/>
          <w:szCs w:val="20"/>
        </w:rPr>
        <w:t>Wakabayashi</w:t>
      </w:r>
      <w:r w:rsidRPr="002C7FC2">
        <w:rPr>
          <w:sz w:val="20"/>
          <w:szCs w:val="20"/>
        </w:rPr>
        <w:t xml:space="preserve"> </w:t>
      </w:r>
      <w:r w:rsidRPr="002C7FC2">
        <w:rPr>
          <w:i/>
          <w:iCs/>
          <w:sz w:val="20"/>
          <w:szCs w:val="20"/>
        </w:rPr>
        <w:t>et al.</w:t>
      </w:r>
      <w:r w:rsidRPr="002C7FC2">
        <w:rPr>
          <w:sz w:val="20"/>
          <w:szCs w:val="20"/>
        </w:rPr>
        <w:t>, 2010).</w:t>
      </w:r>
    </w:p>
    <w:p w14:paraId="3817599B" w14:textId="77777777" w:rsidR="006A7DAE" w:rsidRPr="002C7FC2" w:rsidRDefault="006A7DAE" w:rsidP="006A7DAE">
      <w:pPr>
        <w:adjustRightInd w:val="0"/>
        <w:snapToGrid w:val="0"/>
        <w:ind w:firstLineChars="180" w:firstLine="360"/>
        <w:jc w:val="both"/>
        <w:rPr>
          <w:sz w:val="20"/>
          <w:szCs w:val="20"/>
        </w:rPr>
      </w:pPr>
      <w:r w:rsidRPr="002C7FC2">
        <w:rPr>
          <w:sz w:val="20"/>
          <w:szCs w:val="20"/>
        </w:rPr>
        <w:t>While physiological ROS levels are essential for sperm capacitation and fertilization, excessive ROS generation overwhelms antioxidant defenses, leading to LPO and membrane damage (</w:t>
      </w:r>
      <w:r w:rsidRPr="005F3854">
        <w:rPr>
          <w:color w:val="2E74B5" w:themeColor="accent1" w:themeShade="BF"/>
          <w:sz w:val="20"/>
          <w:szCs w:val="20"/>
        </w:rPr>
        <w:t>Wright</w:t>
      </w:r>
      <w:r w:rsidRPr="002C7FC2">
        <w:rPr>
          <w:sz w:val="20"/>
          <w:szCs w:val="20"/>
        </w:rPr>
        <w:t xml:space="preserve"> </w:t>
      </w:r>
      <w:r w:rsidRPr="002C7FC2">
        <w:rPr>
          <w:i/>
          <w:iCs/>
          <w:sz w:val="20"/>
          <w:szCs w:val="20"/>
        </w:rPr>
        <w:t>et al.</w:t>
      </w:r>
      <w:r w:rsidRPr="002C7FC2">
        <w:rPr>
          <w:sz w:val="20"/>
          <w:szCs w:val="20"/>
        </w:rPr>
        <w:t>, 2014). This process impairs the functional integrity and fluidity of the sperm plasma membrane, which is rich in polyunsaturated fatty acids (PUFAs), and generates toxic byproducts like MDA and 4-hydroxynonenal (4-HNE) that further degrade sperm quality (</w:t>
      </w:r>
      <w:r w:rsidRPr="00C62FFF">
        <w:rPr>
          <w:color w:val="2E74B5" w:themeColor="accent1" w:themeShade="BF"/>
          <w:sz w:val="20"/>
          <w:szCs w:val="20"/>
        </w:rPr>
        <w:t>Gomez</w:t>
      </w:r>
      <w:r w:rsidRPr="002C7FC2">
        <w:rPr>
          <w:sz w:val="20"/>
          <w:szCs w:val="20"/>
        </w:rPr>
        <w:t xml:space="preserve"> </w:t>
      </w:r>
      <w:r w:rsidRPr="002C7FC2">
        <w:rPr>
          <w:i/>
          <w:iCs/>
          <w:sz w:val="20"/>
          <w:szCs w:val="20"/>
        </w:rPr>
        <w:t>et al.</w:t>
      </w:r>
      <w:r w:rsidRPr="002C7FC2">
        <w:rPr>
          <w:sz w:val="20"/>
          <w:szCs w:val="20"/>
        </w:rPr>
        <w:t xml:space="preserve">, 1998; </w:t>
      </w:r>
      <w:r w:rsidRPr="00C62FFF">
        <w:rPr>
          <w:color w:val="2E74B5" w:themeColor="accent1" w:themeShade="BF"/>
          <w:sz w:val="20"/>
          <w:szCs w:val="20"/>
        </w:rPr>
        <w:t>Hosen</w:t>
      </w:r>
      <w:r w:rsidRPr="002C7FC2">
        <w:rPr>
          <w:sz w:val="20"/>
          <w:szCs w:val="20"/>
        </w:rPr>
        <w:t xml:space="preserve"> </w:t>
      </w:r>
      <w:r w:rsidRPr="002C7FC2">
        <w:rPr>
          <w:i/>
          <w:iCs/>
          <w:sz w:val="20"/>
          <w:szCs w:val="20"/>
        </w:rPr>
        <w:t>et al.</w:t>
      </w:r>
      <w:r w:rsidRPr="002C7FC2">
        <w:rPr>
          <w:sz w:val="20"/>
          <w:szCs w:val="20"/>
        </w:rPr>
        <w:t>, 2015). LC mitigates oxidative imbalance by transporting long-chain fatty acids into mitochondria (</w:t>
      </w:r>
      <w:r w:rsidRPr="00C62FFF">
        <w:rPr>
          <w:color w:val="2E74B5" w:themeColor="accent1" w:themeShade="BF"/>
          <w:sz w:val="20"/>
          <w:szCs w:val="20"/>
        </w:rPr>
        <w:t>Vaz</w:t>
      </w:r>
      <w:r w:rsidRPr="002C7FC2">
        <w:rPr>
          <w:sz w:val="20"/>
          <w:szCs w:val="20"/>
        </w:rPr>
        <w:t xml:space="preserve"> </w:t>
      </w:r>
      <w:r w:rsidRPr="002C7FC2">
        <w:rPr>
          <w:i/>
          <w:iCs/>
          <w:sz w:val="20"/>
          <w:szCs w:val="20"/>
        </w:rPr>
        <w:t>et al.</w:t>
      </w:r>
      <w:r w:rsidRPr="002C7FC2">
        <w:rPr>
          <w:sz w:val="20"/>
          <w:szCs w:val="20"/>
        </w:rPr>
        <w:t>, 2002), reducing LPO substrates and enhancing antioxidant capacity (</w:t>
      </w:r>
      <w:r w:rsidRPr="00C62FFF">
        <w:rPr>
          <w:color w:val="2E74B5" w:themeColor="accent1" w:themeShade="BF"/>
          <w:sz w:val="20"/>
          <w:szCs w:val="20"/>
        </w:rPr>
        <w:t>Neuman</w:t>
      </w:r>
      <w:r w:rsidRPr="002C7FC2">
        <w:rPr>
          <w:sz w:val="20"/>
          <w:szCs w:val="20"/>
        </w:rPr>
        <w:t xml:space="preserve"> </w:t>
      </w:r>
      <w:r w:rsidRPr="002C7FC2">
        <w:rPr>
          <w:i/>
          <w:iCs/>
          <w:sz w:val="20"/>
          <w:szCs w:val="20"/>
        </w:rPr>
        <w:t>et al.</w:t>
      </w:r>
      <w:r w:rsidRPr="002C7FC2">
        <w:rPr>
          <w:sz w:val="20"/>
          <w:szCs w:val="20"/>
        </w:rPr>
        <w:t>, 2002), consistent with its role in male fertility (</w:t>
      </w:r>
      <w:r w:rsidRPr="00C62FFF">
        <w:rPr>
          <w:color w:val="2E74B5" w:themeColor="accent1" w:themeShade="BF"/>
          <w:sz w:val="20"/>
          <w:szCs w:val="20"/>
        </w:rPr>
        <w:t>Hafezi</w:t>
      </w:r>
      <w:r w:rsidRPr="002C7FC2">
        <w:rPr>
          <w:sz w:val="20"/>
          <w:szCs w:val="20"/>
        </w:rPr>
        <w:t xml:space="preserve"> </w:t>
      </w:r>
      <w:r w:rsidRPr="002C7FC2">
        <w:rPr>
          <w:i/>
          <w:iCs/>
          <w:sz w:val="20"/>
          <w:szCs w:val="20"/>
        </w:rPr>
        <w:t>et al.</w:t>
      </w:r>
      <w:r w:rsidRPr="002C7FC2">
        <w:rPr>
          <w:sz w:val="20"/>
          <w:szCs w:val="20"/>
        </w:rPr>
        <w:t>, 2022. In this study, supplementation with LC at 150 or 300mg/kg to commercial rabbit diet improved the integrity of both the sperm plasma membrane and acrosome. Furthermore, during liquid storage or cryopreservation of human (</w:t>
      </w:r>
      <w:r w:rsidRPr="00C62FFF">
        <w:rPr>
          <w:color w:val="2E74B5" w:themeColor="accent1" w:themeShade="BF"/>
          <w:sz w:val="20"/>
          <w:szCs w:val="20"/>
        </w:rPr>
        <w:t>Ghorbani</w:t>
      </w:r>
      <w:r w:rsidRPr="002C7FC2">
        <w:rPr>
          <w:sz w:val="20"/>
          <w:szCs w:val="20"/>
        </w:rPr>
        <w:t xml:space="preserve"> </w:t>
      </w:r>
      <w:r w:rsidRPr="002C7FC2">
        <w:rPr>
          <w:i/>
          <w:iCs/>
          <w:sz w:val="20"/>
          <w:szCs w:val="20"/>
        </w:rPr>
        <w:t>et al.</w:t>
      </w:r>
      <w:r w:rsidRPr="002C7FC2">
        <w:rPr>
          <w:sz w:val="20"/>
          <w:szCs w:val="20"/>
        </w:rPr>
        <w:t xml:space="preserve">, 2021), boar (Li </w:t>
      </w:r>
      <w:r w:rsidRPr="002C7FC2">
        <w:rPr>
          <w:i/>
          <w:iCs/>
          <w:sz w:val="20"/>
          <w:szCs w:val="20"/>
        </w:rPr>
        <w:t>et al.</w:t>
      </w:r>
      <w:r w:rsidRPr="002C7FC2">
        <w:rPr>
          <w:sz w:val="20"/>
          <w:szCs w:val="20"/>
        </w:rPr>
        <w:t>, 2022) and rabbit sperm (</w:t>
      </w:r>
      <w:proofErr w:type="spellStart"/>
      <w:r w:rsidRPr="00C62FFF">
        <w:rPr>
          <w:color w:val="2E74B5" w:themeColor="accent1" w:themeShade="BF"/>
          <w:sz w:val="20"/>
          <w:szCs w:val="20"/>
        </w:rPr>
        <w:t>Abdelatty</w:t>
      </w:r>
      <w:proofErr w:type="spellEnd"/>
      <w:r w:rsidRPr="002C7FC2">
        <w:rPr>
          <w:sz w:val="20"/>
          <w:szCs w:val="20"/>
        </w:rPr>
        <w:t xml:space="preserve"> </w:t>
      </w:r>
      <w:r w:rsidRPr="002C7FC2">
        <w:rPr>
          <w:i/>
          <w:iCs/>
          <w:sz w:val="20"/>
          <w:szCs w:val="20"/>
        </w:rPr>
        <w:t>et al.</w:t>
      </w:r>
      <w:r w:rsidRPr="002C7FC2">
        <w:rPr>
          <w:sz w:val="20"/>
          <w:szCs w:val="20"/>
        </w:rPr>
        <w:t>, 2022), LC exhibited excellent protective effects on the integrity of the sperm plasma membrane and acrosome. It enhances sperm motility and viability through multiple mechanisms, including mitigating plasma membrane lipid peroxidation by inhibiting ROS production, chelating iron ions critical for hydroxyl radical formation, and scavenging free radicals, as well as eliminating toxic metabolites by binding to acyl residues from amino acid intermediary metabolism (</w:t>
      </w:r>
      <w:r w:rsidRPr="005F3854">
        <w:rPr>
          <w:color w:val="2E74B5" w:themeColor="accent1" w:themeShade="BF"/>
          <w:sz w:val="20"/>
          <w:szCs w:val="20"/>
        </w:rPr>
        <w:t>Virmani</w:t>
      </w:r>
      <w:r w:rsidRPr="002C7FC2">
        <w:rPr>
          <w:sz w:val="20"/>
          <w:szCs w:val="20"/>
        </w:rPr>
        <w:t xml:space="preserve"> and </w:t>
      </w:r>
      <w:r w:rsidRPr="0035416C">
        <w:rPr>
          <w:rStyle w:val="Strong"/>
          <w:b w:val="0"/>
          <w:bCs/>
          <w:sz w:val="20"/>
          <w:szCs w:val="20"/>
        </w:rPr>
        <w:t>Cirulli</w:t>
      </w:r>
      <w:r w:rsidRPr="002C7FC2">
        <w:rPr>
          <w:sz w:val="20"/>
          <w:szCs w:val="20"/>
        </w:rPr>
        <w:t xml:space="preserve">, 2022). It also stabilizes membrane structures via interactions between its tri-methylamino and </w:t>
      </w:r>
      <w:r w:rsidRPr="002C7FC2">
        <w:rPr>
          <w:sz w:val="20"/>
          <w:szCs w:val="20"/>
        </w:rPr>
        <w:lastRenderedPageBreak/>
        <w:t>carboxylic groups and the polar heads of membrane phospholipids, glycolipids, and proteins, potentially through effects on phospholipid acetylation and its amphiphilic properties that enable charge-based interactions with the cell membrane surface (</w:t>
      </w:r>
      <w:r w:rsidRPr="005F3854">
        <w:rPr>
          <w:color w:val="2E74B5" w:themeColor="accent1" w:themeShade="BF"/>
          <w:sz w:val="20"/>
          <w:szCs w:val="20"/>
        </w:rPr>
        <w:t>Virmani</w:t>
      </w:r>
      <w:r w:rsidRPr="002C7FC2">
        <w:rPr>
          <w:sz w:val="20"/>
          <w:szCs w:val="20"/>
        </w:rPr>
        <w:t xml:space="preserve"> and Binienda, 2004). Collectively, these actions preserve cellular homeostasis, prevent toxic metabolite accumulation, and support the structural and functional integrity of sperm membranes.</w:t>
      </w:r>
    </w:p>
    <w:p w14:paraId="72D54F4B" w14:textId="77777777" w:rsidR="006A7DAE" w:rsidRDefault="006A7DAE" w:rsidP="006A7DAE">
      <w:pPr>
        <w:adjustRightInd w:val="0"/>
        <w:snapToGrid w:val="0"/>
        <w:ind w:firstLineChars="180" w:firstLine="360"/>
        <w:jc w:val="both"/>
        <w:rPr>
          <w:sz w:val="20"/>
          <w:szCs w:val="20"/>
        </w:rPr>
      </w:pPr>
      <w:r w:rsidRPr="002C7FC2">
        <w:rPr>
          <w:sz w:val="20"/>
          <w:szCs w:val="20"/>
        </w:rPr>
        <w:t>Mitochondria serve as indispensable organelles central to ROS generation, energy metabolism, and cellular apoptosis (</w:t>
      </w:r>
      <w:r w:rsidRPr="00C62FFF">
        <w:rPr>
          <w:color w:val="2E74B5" w:themeColor="accent1" w:themeShade="BF"/>
          <w:sz w:val="20"/>
          <w:szCs w:val="20"/>
        </w:rPr>
        <w:t>Mazat</w:t>
      </w:r>
      <w:r w:rsidRPr="002C7FC2">
        <w:rPr>
          <w:sz w:val="20"/>
          <w:szCs w:val="20"/>
        </w:rPr>
        <w:t xml:space="preserve"> </w:t>
      </w:r>
      <w:r w:rsidRPr="002C7FC2">
        <w:rPr>
          <w:i/>
          <w:iCs/>
          <w:sz w:val="20"/>
          <w:szCs w:val="20"/>
        </w:rPr>
        <w:t>et al.</w:t>
      </w:r>
      <w:r w:rsidRPr="002C7FC2">
        <w:rPr>
          <w:sz w:val="20"/>
          <w:szCs w:val="20"/>
        </w:rPr>
        <w:t xml:space="preserve">, 2020). However, excessive ROS induce mitochondrial damage by targeting PUFAs in mitochondrial membranes, thereby disrupting membrane permeability, reducing MMP, and impairing the electron transport chain and ATP synthesis (Li </w:t>
      </w:r>
      <w:r w:rsidRPr="002C7FC2">
        <w:rPr>
          <w:i/>
          <w:iCs/>
          <w:sz w:val="20"/>
          <w:szCs w:val="20"/>
        </w:rPr>
        <w:t>et al.</w:t>
      </w:r>
      <w:r w:rsidRPr="002C7FC2">
        <w:rPr>
          <w:sz w:val="20"/>
          <w:szCs w:val="20"/>
        </w:rPr>
        <w:t>, 2021). Concurrently, ROS trigger the release of cytochrome C into the cytoplasm, initiating apoptotic cascades and overwhelming antioxidant defenses (</w:t>
      </w:r>
      <w:r w:rsidRPr="00C62FFF">
        <w:rPr>
          <w:color w:val="2E74B5" w:themeColor="accent1" w:themeShade="BF"/>
          <w:sz w:val="20"/>
          <w:szCs w:val="20"/>
        </w:rPr>
        <w:t>Hosen</w:t>
      </w:r>
      <w:r w:rsidRPr="002C7FC2">
        <w:rPr>
          <w:sz w:val="20"/>
          <w:szCs w:val="20"/>
        </w:rPr>
        <w:t xml:space="preserve"> </w:t>
      </w:r>
      <w:r w:rsidRPr="002C7FC2">
        <w:rPr>
          <w:i/>
          <w:iCs/>
          <w:sz w:val="20"/>
          <w:szCs w:val="20"/>
        </w:rPr>
        <w:t>et al.</w:t>
      </w:r>
      <w:r w:rsidRPr="002C7FC2">
        <w:rPr>
          <w:sz w:val="20"/>
          <w:szCs w:val="20"/>
        </w:rPr>
        <w:t xml:space="preserve">, 2015; </w:t>
      </w:r>
      <w:r w:rsidRPr="005F3854">
        <w:rPr>
          <w:color w:val="2E74B5" w:themeColor="accent1" w:themeShade="BF"/>
          <w:sz w:val="20"/>
          <w:szCs w:val="20"/>
        </w:rPr>
        <w:t>Virmani</w:t>
      </w:r>
      <w:r w:rsidRPr="002C7FC2">
        <w:rPr>
          <w:sz w:val="20"/>
          <w:szCs w:val="20"/>
        </w:rPr>
        <w:t xml:space="preserve"> and Cirulli, 2022). Collectively, these mechanisms destabilize bioenergetic balance, promote sperm apoptosis, and compromise cellular homeostasis, with significant implications for sperm function and fertility (</w:t>
      </w:r>
      <w:proofErr w:type="spellStart"/>
      <w:r w:rsidRPr="00C62FFF">
        <w:rPr>
          <w:color w:val="2E74B5" w:themeColor="accent1" w:themeShade="BF"/>
          <w:sz w:val="20"/>
          <w:szCs w:val="20"/>
        </w:rPr>
        <w:t>Treulen</w:t>
      </w:r>
      <w:proofErr w:type="spellEnd"/>
      <w:r w:rsidRPr="002C7FC2">
        <w:rPr>
          <w:sz w:val="20"/>
          <w:szCs w:val="20"/>
        </w:rPr>
        <w:t xml:space="preserve"> </w:t>
      </w:r>
      <w:r w:rsidRPr="002C7FC2">
        <w:rPr>
          <w:i/>
          <w:iCs/>
          <w:sz w:val="20"/>
          <w:szCs w:val="20"/>
        </w:rPr>
        <w:t>et al.</w:t>
      </w:r>
      <w:r w:rsidRPr="002C7FC2">
        <w:rPr>
          <w:sz w:val="20"/>
          <w:szCs w:val="20"/>
        </w:rPr>
        <w:t>, 2015). LC counteracts these detrimental effects through multifaceted mechanisms. It potently safeguards sperm mitochondria against electron transport chain-derived ROS by scavenging free radicals, chelating iron ions, and upregulating mitochondrial antioxidants such as SOD, GSH, CAT, and GSH-</w:t>
      </w:r>
      <w:proofErr w:type="spellStart"/>
      <w:r w:rsidRPr="002C7FC2">
        <w:rPr>
          <w:sz w:val="20"/>
          <w:szCs w:val="20"/>
        </w:rPr>
        <w:t>Px</w:t>
      </w:r>
      <w:proofErr w:type="spellEnd"/>
      <w:r w:rsidRPr="002C7FC2">
        <w:rPr>
          <w:sz w:val="20"/>
          <w:szCs w:val="20"/>
        </w:rPr>
        <w:t xml:space="preserve"> (</w:t>
      </w:r>
      <w:proofErr w:type="spellStart"/>
      <w:r w:rsidRPr="00C62FFF">
        <w:rPr>
          <w:color w:val="2E74B5" w:themeColor="accent1" w:themeShade="BF"/>
          <w:sz w:val="20"/>
          <w:szCs w:val="20"/>
        </w:rPr>
        <w:t>Elokil</w:t>
      </w:r>
      <w:proofErr w:type="spellEnd"/>
      <w:r w:rsidRPr="002C7FC2">
        <w:rPr>
          <w:sz w:val="20"/>
          <w:szCs w:val="20"/>
        </w:rPr>
        <w:t xml:space="preserve"> </w:t>
      </w:r>
      <w:r w:rsidRPr="002C7FC2">
        <w:rPr>
          <w:i/>
          <w:iCs/>
          <w:sz w:val="20"/>
          <w:szCs w:val="20"/>
        </w:rPr>
        <w:t>et al.</w:t>
      </w:r>
      <w:r w:rsidRPr="002C7FC2">
        <w:rPr>
          <w:sz w:val="20"/>
          <w:szCs w:val="20"/>
        </w:rPr>
        <w:t xml:space="preserve">, 2019; </w:t>
      </w:r>
      <w:r w:rsidRPr="00C62FFF">
        <w:rPr>
          <w:color w:val="2E74B5" w:themeColor="accent1" w:themeShade="BF"/>
          <w:sz w:val="20"/>
          <w:szCs w:val="20"/>
        </w:rPr>
        <w:t>Alharthi</w:t>
      </w:r>
      <w:r w:rsidRPr="002C7FC2">
        <w:rPr>
          <w:sz w:val="20"/>
          <w:szCs w:val="20"/>
        </w:rPr>
        <w:t xml:space="preserve"> </w:t>
      </w:r>
      <w:r w:rsidRPr="002C7FC2">
        <w:rPr>
          <w:i/>
          <w:iCs/>
          <w:sz w:val="20"/>
          <w:szCs w:val="20"/>
        </w:rPr>
        <w:t>et al.</w:t>
      </w:r>
      <w:r w:rsidRPr="002C7FC2">
        <w:rPr>
          <w:sz w:val="20"/>
          <w:szCs w:val="20"/>
        </w:rPr>
        <w:t>, 2020). Additionally, LC preserves the structural and genetic integrity of sperm mitochondria by stabilizing membrane architecture and protecting DNA, thereby modulating apoptotic signaling pathways in sperm cells (</w:t>
      </w:r>
      <w:proofErr w:type="spellStart"/>
      <w:r w:rsidRPr="00C62FFF">
        <w:rPr>
          <w:color w:val="2E74B5" w:themeColor="accent1" w:themeShade="BF"/>
          <w:sz w:val="20"/>
          <w:szCs w:val="20"/>
        </w:rPr>
        <w:t>Modanloo</w:t>
      </w:r>
      <w:proofErr w:type="spellEnd"/>
      <w:r w:rsidRPr="002C7FC2">
        <w:rPr>
          <w:sz w:val="20"/>
          <w:szCs w:val="20"/>
        </w:rPr>
        <w:t xml:space="preserve"> and </w:t>
      </w:r>
      <w:proofErr w:type="spellStart"/>
      <w:r w:rsidRPr="002C7FC2">
        <w:rPr>
          <w:sz w:val="20"/>
          <w:szCs w:val="20"/>
        </w:rPr>
        <w:t>Shokrzadeh</w:t>
      </w:r>
      <w:proofErr w:type="spellEnd"/>
      <w:r w:rsidRPr="002C7FC2">
        <w:rPr>
          <w:sz w:val="20"/>
          <w:szCs w:val="20"/>
        </w:rPr>
        <w:t>, 2019). The protective role of LC in mitochondrial function was validated in this study through multiple lines of evidence. Results from MMP assays, sperm apoptosis rate analyses, and mRNA expression profiling of apoptosis-related genes demonstrated enhanced mitochondrial stability, reduced cell death, and molecular-level confirmation of regulatory effects of LC on apoptotic cascades. Collectively, these findings directly and indirectly corroborate the mitochondrial protective efficacy of LC, underscoring its potential in preserving sperm quality and fertility.</w:t>
      </w:r>
    </w:p>
    <w:p w14:paraId="1CC18445" w14:textId="77777777" w:rsidR="006A7DAE" w:rsidRPr="002C7FC2" w:rsidRDefault="006A7DAE" w:rsidP="006A7DAE">
      <w:pPr>
        <w:adjustRightInd w:val="0"/>
        <w:snapToGrid w:val="0"/>
        <w:ind w:firstLineChars="180" w:firstLine="360"/>
        <w:jc w:val="both"/>
        <w:rPr>
          <w:sz w:val="20"/>
          <w:szCs w:val="20"/>
        </w:rPr>
      </w:pPr>
    </w:p>
    <w:p w14:paraId="7C4FF517" w14:textId="46FC0EE0" w:rsidR="006A7DAE" w:rsidRDefault="006A7DAE" w:rsidP="006A7DAE">
      <w:pPr>
        <w:adjustRightInd w:val="0"/>
        <w:snapToGrid w:val="0"/>
        <w:jc w:val="both"/>
        <w:rPr>
          <w:sz w:val="20"/>
          <w:szCs w:val="20"/>
        </w:rPr>
      </w:pPr>
      <w:r w:rsidRPr="002C7FC2">
        <w:rPr>
          <w:b/>
          <w:bCs/>
          <w:sz w:val="20"/>
          <w:szCs w:val="20"/>
        </w:rPr>
        <w:t>Conclusion</w:t>
      </w:r>
      <w:r>
        <w:rPr>
          <w:b/>
          <w:bCs/>
          <w:sz w:val="20"/>
          <w:szCs w:val="20"/>
        </w:rPr>
        <w:t>s</w:t>
      </w:r>
      <w:r w:rsidRPr="002C7FC2">
        <w:rPr>
          <w:b/>
          <w:bCs/>
          <w:sz w:val="20"/>
          <w:szCs w:val="20"/>
        </w:rPr>
        <w:t xml:space="preserve">: </w:t>
      </w:r>
      <w:r w:rsidRPr="002C7FC2">
        <w:rPr>
          <w:sz w:val="20"/>
          <w:szCs w:val="20"/>
        </w:rPr>
        <w:t>Dietary LC300 supplementation enhances semen quality in Fujian Yellow male rabbits by improving fresh semen parameters, elevating antioxidant capacity in seminal plasma and sperm, preserving sperm membrane integrity, modulating mitochondrial function and apoptosis. Moreover,</w:t>
      </w:r>
      <w:r w:rsidRPr="002C7FC2">
        <w:rPr>
          <w:b/>
          <w:bCs/>
          <w:sz w:val="20"/>
          <w:szCs w:val="20"/>
        </w:rPr>
        <w:t xml:space="preserve"> </w:t>
      </w:r>
      <w:r w:rsidRPr="002C7FC2">
        <w:rPr>
          <w:sz w:val="20"/>
          <w:szCs w:val="20"/>
        </w:rPr>
        <w:t>dietary LC300 supplementation</w:t>
      </w:r>
      <w:r w:rsidRPr="002C7FC2">
        <w:rPr>
          <w:rFonts w:eastAsia="Segoe UI"/>
          <w:sz w:val="20"/>
          <w:szCs w:val="20"/>
          <w:shd w:val="clear" w:color="auto" w:fill="FFFFFF"/>
        </w:rPr>
        <w:t xml:space="preserve"> also </w:t>
      </w:r>
      <w:r w:rsidRPr="002C7FC2">
        <w:rPr>
          <w:sz w:val="20"/>
          <w:szCs w:val="20"/>
        </w:rPr>
        <w:t xml:space="preserve">activates the </w:t>
      </w:r>
      <w:r w:rsidRPr="002C7FC2">
        <w:rPr>
          <w:i/>
          <w:iCs/>
          <w:sz w:val="20"/>
          <w:szCs w:val="20"/>
        </w:rPr>
        <w:t>NRF-2</w:t>
      </w:r>
      <w:r w:rsidRPr="002C7FC2">
        <w:rPr>
          <w:sz w:val="20"/>
          <w:szCs w:val="20"/>
        </w:rPr>
        <w:t xml:space="preserve"> pathway, improving the cryopreservation resilience. Therefore, LC demonstrates efficacy in mitigating oxidative damage and supporting reproductive function for commercial rabbit production.</w:t>
      </w:r>
    </w:p>
    <w:p w14:paraId="2547332D" w14:textId="77777777" w:rsidR="006A7DAE" w:rsidRPr="002C7FC2" w:rsidRDefault="006A7DAE" w:rsidP="006A7DAE">
      <w:pPr>
        <w:adjustRightInd w:val="0"/>
        <w:snapToGrid w:val="0"/>
        <w:jc w:val="both"/>
        <w:rPr>
          <w:b/>
          <w:bCs/>
          <w:sz w:val="20"/>
          <w:szCs w:val="20"/>
        </w:rPr>
      </w:pPr>
    </w:p>
    <w:p w14:paraId="227A7582" w14:textId="77777777" w:rsidR="006A7DAE" w:rsidRDefault="006A7DAE" w:rsidP="006A7DAE">
      <w:pPr>
        <w:adjustRightInd w:val="0"/>
        <w:snapToGrid w:val="0"/>
        <w:jc w:val="both"/>
        <w:rPr>
          <w:sz w:val="20"/>
          <w:szCs w:val="20"/>
          <w:shd w:val="clear" w:color="auto" w:fill="FFFFFF"/>
        </w:rPr>
      </w:pPr>
      <w:r w:rsidRPr="002C7FC2">
        <w:rPr>
          <w:b/>
          <w:bCs/>
          <w:sz w:val="20"/>
          <w:szCs w:val="20"/>
          <w:shd w:val="clear" w:color="auto" w:fill="FFFFFF"/>
        </w:rPr>
        <w:t xml:space="preserve">Authors’ contributions: </w:t>
      </w:r>
      <w:proofErr w:type="spellStart"/>
      <w:r w:rsidRPr="002C7FC2">
        <w:rPr>
          <w:sz w:val="20"/>
          <w:szCs w:val="20"/>
          <w:shd w:val="clear" w:color="auto" w:fill="FFFFFF"/>
        </w:rPr>
        <w:t>Chengfang</w:t>
      </w:r>
      <w:proofErr w:type="spellEnd"/>
      <w:r w:rsidRPr="002C7FC2">
        <w:rPr>
          <w:sz w:val="20"/>
          <w:szCs w:val="20"/>
          <w:shd w:val="clear" w:color="auto" w:fill="FFFFFF"/>
        </w:rPr>
        <w:t xml:space="preserve"> Gao was responsible for data curation, formal analysis, investigation, methodology, visualization, and writing original draft. Ming Liu and Liya Bai are co-first authors and were responsible for formal analysis, methodology, writing, review and editing. </w:t>
      </w:r>
      <w:proofErr w:type="spellStart"/>
      <w:r w:rsidRPr="002C7FC2">
        <w:rPr>
          <w:sz w:val="20"/>
          <w:szCs w:val="20"/>
          <w:shd w:val="clear" w:color="auto" w:fill="FFFFFF"/>
        </w:rPr>
        <w:t>Yuxiang</w:t>
      </w:r>
      <w:proofErr w:type="spellEnd"/>
      <w:r w:rsidRPr="002C7FC2">
        <w:rPr>
          <w:sz w:val="20"/>
          <w:szCs w:val="20"/>
          <w:shd w:val="clear" w:color="auto" w:fill="FFFFFF"/>
        </w:rPr>
        <w:t xml:space="preserve"> Lan, </w:t>
      </w:r>
      <w:proofErr w:type="spellStart"/>
      <w:r w:rsidRPr="002C7FC2">
        <w:rPr>
          <w:sz w:val="20"/>
          <w:szCs w:val="20"/>
          <w:shd w:val="clear" w:color="auto" w:fill="FFFFFF"/>
        </w:rPr>
        <w:t>Shikun</w:t>
      </w:r>
      <w:proofErr w:type="spellEnd"/>
      <w:r w:rsidRPr="002C7FC2">
        <w:rPr>
          <w:sz w:val="20"/>
          <w:szCs w:val="20"/>
          <w:shd w:val="clear" w:color="auto" w:fill="FFFFFF"/>
        </w:rPr>
        <w:t xml:space="preserve"> Sun and </w:t>
      </w:r>
      <w:proofErr w:type="spellStart"/>
      <w:r w:rsidRPr="002C7FC2">
        <w:rPr>
          <w:sz w:val="20"/>
          <w:szCs w:val="20"/>
          <w:shd w:val="clear" w:color="auto" w:fill="FFFFFF"/>
        </w:rPr>
        <w:t>Jinxiang</w:t>
      </w:r>
      <w:proofErr w:type="spellEnd"/>
      <w:r w:rsidRPr="002C7FC2">
        <w:rPr>
          <w:sz w:val="20"/>
          <w:szCs w:val="20"/>
          <w:shd w:val="clear" w:color="auto" w:fill="FFFFFF"/>
        </w:rPr>
        <w:t xml:space="preserve"> </w:t>
      </w:r>
      <w:r w:rsidRPr="005F3854">
        <w:rPr>
          <w:color w:val="2E74B5" w:themeColor="accent1" w:themeShade="BF"/>
          <w:sz w:val="20"/>
          <w:szCs w:val="20"/>
          <w:shd w:val="clear" w:color="auto" w:fill="FFFFFF"/>
        </w:rPr>
        <w:lastRenderedPageBreak/>
        <w:t>Wang</w:t>
      </w:r>
      <w:r w:rsidRPr="002C7FC2">
        <w:rPr>
          <w:sz w:val="20"/>
          <w:szCs w:val="20"/>
          <w:shd w:val="clear" w:color="auto" w:fill="FFFFFF"/>
        </w:rPr>
        <w:t xml:space="preserve"> assisted with testing, data analysis and method guidance. The main responsibility of </w:t>
      </w:r>
      <w:proofErr w:type="spellStart"/>
      <w:r w:rsidRPr="002C7FC2">
        <w:rPr>
          <w:sz w:val="20"/>
          <w:szCs w:val="20"/>
          <w:shd w:val="clear" w:color="auto" w:fill="FFFFFF"/>
        </w:rPr>
        <w:t>Xiping</w:t>
      </w:r>
      <w:proofErr w:type="spellEnd"/>
      <w:r w:rsidRPr="002C7FC2">
        <w:rPr>
          <w:sz w:val="20"/>
          <w:szCs w:val="20"/>
          <w:shd w:val="clear" w:color="auto" w:fill="FFFFFF"/>
        </w:rPr>
        <w:t xml:space="preserve"> </w:t>
      </w:r>
      <w:proofErr w:type="spellStart"/>
      <w:r w:rsidRPr="002C7FC2">
        <w:rPr>
          <w:sz w:val="20"/>
          <w:szCs w:val="20"/>
          <w:shd w:val="clear" w:color="auto" w:fill="FFFFFF"/>
        </w:rPr>
        <w:t>Xie</w:t>
      </w:r>
      <w:proofErr w:type="spellEnd"/>
      <w:r w:rsidRPr="002C7FC2">
        <w:rPr>
          <w:sz w:val="20"/>
          <w:szCs w:val="20"/>
          <w:shd w:val="clear" w:color="auto" w:fill="FFFFFF"/>
        </w:rPr>
        <w:t xml:space="preserve"> and </w:t>
      </w:r>
      <w:proofErr w:type="spellStart"/>
      <w:r w:rsidRPr="002C7FC2">
        <w:rPr>
          <w:sz w:val="20"/>
          <w:szCs w:val="20"/>
          <w:shd w:val="clear" w:color="auto" w:fill="FFFFFF"/>
        </w:rPr>
        <w:t>Dongjin</w:t>
      </w:r>
      <w:proofErr w:type="spellEnd"/>
      <w:r w:rsidRPr="002C7FC2">
        <w:rPr>
          <w:sz w:val="20"/>
          <w:szCs w:val="20"/>
          <w:shd w:val="clear" w:color="auto" w:fill="FFFFFF"/>
        </w:rPr>
        <w:t xml:space="preserve"> Chen was conceptualization, funding acquisition and project administration. Lei Sang was responsible for conceptualization, funding acquisition, project administration, resources, supervision, writing review and editing. All authors approved the final version of the manuscript.</w:t>
      </w:r>
    </w:p>
    <w:p w14:paraId="3B50719F" w14:textId="77777777" w:rsidR="006A7DAE" w:rsidRPr="002C7FC2" w:rsidRDefault="006A7DAE" w:rsidP="006A7DAE">
      <w:pPr>
        <w:adjustRightInd w:val="0"/>
        <w:snapToGrid w:val="0"/>
        <w:jc w:val="both"/>
        <w:rPr>
          <w:sz w:val="20"/>
          <w:szCs w:val="20"/>
          <w:shd w:val="clear" w:color="auto" w:fill="FFFFFF"/>
        </w:rPr>
      </w:pPr>
    </w:p>
    <w:p w14:paraId="4EFAC355" w14:textId="77777777" w:rsidR="006A7DAE" w:rsidRDefault="006A7DAE" w:rsidP="006A7DAE">
      <w:pPr>
        <w:adjustRightInd w:val="0"/>
        <w:snapToGrid w:val="0"/>
        <w:jc w:val="both"/>
        <w:rPr>
          <w:sz w:val="20"/>
          <w:szCs w:val="20"/>
          <w:shd w:val="clear" w:color="auto" w:fill="FFFFFF"/>
        </w:rPr>
      </w:pPr>
      <w:r w:rsidRPr="002C7FC2">
        <w:rPr>
          <w:b/>
          <w:bCs/>
          <w:sz w:val="20"/>
          <w:szCs w:val="20"/>
          <w:shd w:val="clear" w:color="auto" w:fill="FFFFFF"/>
        </w:rPr>
        <w:t xml:space="preserve">Declaration of competing interest: </w:t>
      </w:r>
      <w:r w:rsidRPr="002C7FC2">
        <w:rPr>
          <w:sz w:val="20"/>
          <w:szCs w:val="20"/>
          <w:shd w:val="clear" w:color="auto" w:fill="FFFFFF"/>
        </w:rPr>
        <w:t>The authors declare that there is no conflict of interest.</w:t>
      </w:r>
    </w:p>
    <w:p w14:paraId="2B22757E" w14:textId="77777777" w:rsidR="006A7DAE" w:rsidRPr="002C7FC2" w:rsidRDefault="006A7DAE" w:rsidP="006A7DAE">
      <w:pPr>
        <w:adjustRightInd w:val="0"/>
        <w:snapToGrid w:val="0"/>
        <w:jc w:val="both"/>
        <w:rPr>
          <w:b/>
          <w:bCs/>
          <w:sz w:val="20"/>
          <w:szCs w:val="20"/>
          <w:shd w:val="clear" w:color="auto" w:fill="FFFFFF"/>
        </w:rPr>
      </w:pPr>
    </w:p>
    <w:p w14:paraId="05247C2F" w14:textId="77777777" w:rsidR="006A7DAE" w:rsidRDefault="006A7DAE" w:rsidP="006A7DAE">
      <w:pPr>
        <w:adjustRightInd w:val="0"/>
        <w:snapToGrid w:val="0"/>
        <w:jc w:val="both"/>
        <w:rPr>
          <w:sz w:val="20"/>
          <w:szCs w:val="20"/>
          <w:shd w:val="clear" w:color="auto" w:fill="FFFFFF"/>
        </w:rPr>
      </w:pPr>
      <w:r w:rsidRPr="002C7FC2">
        <w:rPr>
          <w:b/>
          <w:bCs/>
          <w:sz w:val="20"/>
          <w:szCs w:val="20"/>
          <w:shd w:val="clear" w:color="auto" w:fill="FFFFFF"/>
        </w:rPr>
        <w:t>Funding</w:t>
      </w:r>
      <w:bookmarkStart w:id="14" w:name="OLE_LINK12"/>
      <w:r w:rsidRPr="002C7FC2">
        <w:rPr>
          <w:b/>
          <w:bCs/>
          <w:sz w:val="20"/>
          <w:szCs w:val="20"/>
          <w:shd w:val="clear" w:color="auto" w:fill="FFFFFF"/>
        </w:rPr>
        <w:t xml:space="preserve">: </w:t>
      </w:r>
      <w:r w:rsidRPr="002C7FC2">
        <w:rPr>
          <w:sz w:val="20"/>
          <w:szCs w:val="20"/>
          <w:shd w:val="clear" w:color="auto" w:fill="FFFFFF"/>
        </w:rPr>
        <w:t xml:space="preserve">This work was supported by the </w:t>
      </w:r>
      <w:bookmarkStart w:id="15" w:name="OLE_LINK57"/>
      <w:r w:rsidRPr="002C7FC2">
        <w:rPr>
          <w:sz w:val="20"/>
          <w:szCs w:val="20"/>
          <w:shd w:val="clear" w:color="auto" w:fill="FFFFFF"/>
        </w:rPr>
        <w:t>China Modern Agriculture Industry Technology System Construction Project</w:t>
      </w:r>
      <w:bookmarkEnd w:id="14"/>
      <w:bookmarkEnd w:id="15"/>
      <w:r w:rsidRPr="002C7FC2">
        <w:rPr>
          <w:sz w:val="20"/>
          <w:szCs w:val="20"/>
          <w:shd w:val="clear" w:color="auto" w:fill="FFFFFF"/>
        </w:rPr>
        <w:t xml:space="preserve"> (</w:t>
      </w:r>
      <w:bookmarkStart w:id="16" w:name="OLE_LINK15"/>
      <w:r w:rsidRPr="002C7FC2">
        <w:rPr>
          <w:sz w:val="20"/>
          <w:szCs w:val="20"/>
          <w:shd w:val="clear" w:color="auto" w:fill="FFFFFF"/>
        </w:rPr>
        <w:t>CARS-43-G-5</w:t>
      </w:r>
      <w:bookmarkEnd w:id="16"/>
      <w:r w:rsidRPr="002C7FC2">
        <w:rPr>
          <w:sz w:val="20"/>
          <w:szCs w:val="20"/>
          <w:shd w:val="clear" w:color="auto" w:fill="FFFFFF"/>
        </w:rPr>
        <w:t xml:space="preserve">); </w:t>
      </w:r>
      <w:bookmarkStart w:id="17" w:name="OLE_LINK59"/>
      <w:r w:rsidRPr="002C7FC2">
        <w:rPr>
          <w:sz w:val="20"/>
          <w:szCs w:val="20"/>
          <w:shd w:val="clear" w:color="auto" w:fill="FFFFFF"/>
        </w:rPr>
        <w:t>Fujian Academy of Agricultural Sciences Free Exploration of Technological Innovation Project (ZYTS202424); Fujian Province Science and Technology Public Welfare Special Project</w:t>
      </w:r>
      <w:bookmarkEnd w:id="17"/>
      <w:r w:rsidRPr="002C7FC2">
        <w:rPr>
          <w:sz w:val="20"/>
          <w:szCs w:val="20"/>
          <w:shd w:val="clear" w:color="auto" w:fill="FFFFFF"/>
        </w:rPr>
        <w:t xml:space="preserve"> (2023R1024008); International Collaboration Project of Fujian Academy of Agricultural Sciences (DWHZ2024-04); Open Fund of the Key Laboratory of Livestock and Poultry Genetic Breeding of Fujian Province (</w:t>
      </w:r>
      <w:bookmarkStart w:id="18" w:name="OLE_LINK16"/>
      <w:r w:rsidRPr="002C7FC2">
        <w:rPr>
          <w:sz w:val="20"/>
          <w:szCs w:val="20"/>
          <w:shd w:val="clear" w:color="auto" w:fill="FFFFFF"/>
        </w:rPr>
        <w:t>FJXQKFJJ2024</w:t>
      </w:r>
      <w:bookmarkEnd w:id="18"/>
      <w:r w:rsidRPr="002C7FC2">
        <w:rPr>
          <w:sz w:val="20"/>
          <w:szCs w:val="20"/>
          <w:shd w:val="clear" w:color="auto" w:fill="FFFFFF"/>
        </w:rPr>
        <w:t>).</w:t>
      </w:r>
    </w:p>
    <w:p w14:paraId="43B9D1C5" w14:textId="77777777" w:rsidR="006A7DAE" w:rsidRPr="002C7FC2" w:rsidRDefault="006A7DAE" w:rsidP="006A7DAE">
      <w:pPr>
        <w:adjustRightInd w:val="0"/>
        <w:snapToGrid w:val="0"/>
        <w:jc w:val="both"/>
        <w:rPr>
          <w:b/>
          <w:bCs/>
          <w:sz w:val="20"/>
          <w:szCs w:val="20"/>
          <w:shd w:val="clear" w:color="auto" w:fill="FFFFFF"/>
        </w:rPr>
      </w:pPr>
    </w:p>
    <w:p w14:paraId="36A0D759" w14:textId="63BCC48E" w:rsidR="00DB2573" w:rsidRDefault="006A7DAE" w:rsidP="006A7DAE">
      <w:pPr>
        <w:jc w:val="both"/>
        <w:rPr>
          <w:sz w:val="20"/>
          <w:szCs w:val="20"/>
          <w:shd w:val="clear" w:color="auto" w:fill="FFFFFF"/>
        </w:rPr>
      </w:pPr>
      <w:r w:rsidRPr="002C7FC2">
        <w:rPr>
          <w:b/>
          <w:bCs/>
          <w:sz w:val="20"/>
          <w:szCs w:val="20"/>
          <w:shd w:val="clear" w:color="auto" w:fill="FFFFFF"/>
        </w:rPr>
        <w:t xml:space="preserve">Acknowledgements: </w:t>
      </w:r>
      <w:r w:rsidRPr="002C7FC2">
        <w:rPr>
          <w:sz w:val="20"/>
          <w:szCs w:val="20"/>
          <w:shd w:val="clear" w:color="auto" w:fill="FFFFFF"/>
        </w:rPr>
        <w:t xml:space="preserve">The authors are thankful to the </w:t>
      </w:r>
      <w:proofErr w:type="spellStart"/>
      <w:r w:rsidRPr="002C7FC2">
        <w:rPr>
          <w:sz w:val="20"/>
          <w:szCs w:val="20"/>
          <w:lang w:bidi="ar"/>
        </w:rPr>
        <w:t>Lianjiang</w:t>
      </w:r>
      <w:proofErr w:type="spellEnd"/>
      <w:r w:rsidRPr="002C7FC2">
        <w:rPr>
          <w:sz w:val="20"/>
          <w:szCs w:val="20"/>
          <w:lang w:bidi="ar"/>
        </w:rPr>
        <w:t xml:space="preserve"> </w:t>
      </w:r>
      <w:proofErr w:type="spellStart"/>
      <w:r w:rsidRPr="002C7FC2">
        <w:rPr>
          <w:sz w:val="20"/>
          <w:szCs w:val="20"/>
          <w:lang w:bidi="ar"/>
        </w:rPr>
        <w:t>Yuhuashan</w:t>
      </w:r>
      <w:proofErr w:type="spellEnd"/>
      <w:r w:rsidRPr="002C7FC2">
        <w:rPr>
          <w:sz w:val="20"/>
          <w:szCs w:val="20"/>
          <w:lang w:bidi="ar"/>
        </w:rPr>
        <w:t xml:space="preserve"> Yellow Rabbit Ecological Farm</w:t>
      </w:r>
      <w:r w:rsidRPr="002C7FC2">
        <w:rPr>
          <w:sz w:val="20"/>
          <w:szCs w:val="20"/>
          <w:shd w:val="clear" w:color="auto" w:fill="FFFFFF"/>
        </w:rPr>
        <w:t xml:space="preserve"> for the supply of the rabbits for this experiment. Thanks to the Institute of Agricultural Biotechnology, Fujian Academy of Agricultural Sciences for the provision of flow cytometer. We are particularly grateful to Mr. Lan </w:t>
      </w:r>
      <w:proofErr w:type="spellStart"/>
      <w:r w:rsidRPr="002C7FC2">
        <w:rPr>
          <w:sz w:val="20"/>
          <w:szCs w:val="20"/>
          <w:shd w:val="clear" w:color="auto" w:fill="FFFFFF"/>
        </w:rPr>
        <w:t>Yuxiang</w:t>
      </w:r>
      <w:proofErr w:type="spellEnd"/>
      <w:r w:rsidRPr="002C7FC2">
        <w:rPr>
          <w:sz w:val="20"/>
          <w:szCs w:val="20"/>
          <w:shd w:val="clear" w:color="auto" w:fill="FFFFFF"/>
        </w:rPr>
        <w:t xml:space="preserve"> for his help during the experiment.</w:t>
      </w:r>
      <w:bookmarkEnd w:id="13"/>
    </w:p>
    <w:p w14:paraId="2C3F5485" w14:textId="77777777" w:rsidR="006A7DAE" w:rsidRPr="00887DE4" w:rsidRDefault="006A7DAE" w:rsidP="006A7DAE">
      <w:pPr>
        <w:jc w:val="both"/>
        <w:rPr>
          <w:rFonts w:eastAsiaTheme="minorEastAsia"/>
          <w:sz w:val="20"/>
          <w:szCs w:val="20"/>
        </w:rPr>
      </w:pPr>
    </w:p>
    <w:p w14:paraId="537240D5" w14:textId="77777777" w:rsidR="004E1AE3" w:rsidRPr="00AE34E1" w:rsidRDefault="004E1AE3" w:rsidP="00CA38AA">
      <w:pPr>
        <w:autoSpaceDE w:val="0"/>
        <w:autoSpaceDN w:val="0"/>
        <w:adjustRightInd w:val="0"/>
        <w:spacing w:line="235" w:lineRule="auto"/>
        <w:jc w:val="center"/>
        <w:rPr>
          <w:b/>
          <w:bCs/>
          <w:sz w:val="20"/>
          <w:szCs w:val="20"/>
        </w:rPr>
      </w:pPr>
      <w:r w:rsidRPr="00AE34E1">
        <w:rPr>
          <w:b/>
          <w:bCs/>
          <w:sz w:val="20"/>
          <w:szCs w:val="20"/>
        </w:rPr>
        <w:t>REFERENCES</w:t>
      </w:r>
    </w:p>
    <w:p w14:paraId="612DFA80" w14:textId="77777777" w:rsidR="000A08D2" w:rsidRPr="008B755E" w:rsidRDefault="000A08D2" w:rsidP="002B3899">
      <w:pPr>
        <w:spacing w:line="235" w:lineRule="auto"/>
        <w:ind w:left="360" w:hangingChars="180" w:hanging="360"/>
        <w:jc w:val="both"/>
        <w:rPr>
          <w:sz w:val="20"/>
        </w:rPr>
      </w:pPr>
    </w:p>
    <w:p w14:paraId="275E6142"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Abdelatty</w:t>
      </w:r>
      <w:proofErr w:type="spellEnd"/>
      <w:r w:rsidRPr="006A7DAE">
        <w:rPr>
          <w:rStyle w:val="Strong"/>
          <w:rFonts w:ascii="Gill Sans MT" w:hAnsi="Gill Sans MT"/>
          <w:b w:val="0"/>
          <w:bCs/>
          <w:sz w:val="16"/>
          <w:szCs w:val="16"/>
        </w:rPr>
        <w:t xml:space="preserve"> AM, </w:t>
      </w:r>
      <w:proofErr w:type="spellStart"/>
      <w:r w:rsidRPr="006A7DAE">
        <w:rPr>
          <w:rStyle w:val="Strong"/>
          <w:rFonts w:ascii="Gill Sans MT" w:hAnsi="Gill Sans MT"/>
          <w:b w:val="0"/>
          <w:bCs/>
          <w:sz w:val="16"/>
          <w:szCs w:val="16"/>
        </w:rPr>
        <w:t>Badr</w:t>
      </w:r>
      <w:proofErr w:type="spellEnd"/>
      <w:r w:rsidRPr="006A7DAE">
        <w:rPr>
          <w:rStyle w:val="Strong"/>
          <w:rFonts w:ascii="Gill Sans MT" w:hAnsi="Gill Sans MT"/>
          <w:b w:val="0"/>
          <w:bCs/>
          <w:sz w:val="16"/>
          <w:szCs w:val="16"/>
        </w:rPr>
        <w:t xml:space="preserve"> OAM, Mohamed SA,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xml:space="preserve"> Long term conjugated linoleic acid supplementation modestly improved growth performance but induced testicular tissue apoptosis and reduced sperm quality in male rabbit. </w:t>
      </w:r>
      <w:proofErr w:type="spellStart"/>
      <w:r w:rsidRPr="006A7DAE">
        <w:rPr>
          <w:rFonts w:ascii="Gill Sans MT" w:hAnsi="Gill Sans MT"/>
          <w:bCs/>
          <w:sz w:val="16"/>
          <w:szCs w:val="16"/>
        </w:rPr>
        <w:t>PLoS</w:t>
      </w:r>
      <w:proofErr w:type="spellEnd"/>
      <w:r w:rsidRPr="006A7DAE">
        <w:rPr>
          <w:rFonts w:ascii="Gill Sans MT" w:hAnsi="Gill Sans MT"/>
          <w:bCs/>
          <w:sz w:val="16"/>
          <w:szCs w:val="16"/>
        </w:rPr>
        <w:t xml:space="preserve"> One 15(1): e0226070.</w:t>
      </w:r>
    </w:p>
    <w:p w14:paraId="6AC5E2B0"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Abdelnour</w:t>
      </w:r>
      <w:r w:rsidRPr="006A7DAE">
        <w:rPr>
          <w:rStyle w:val="Strong"/>
          <w:rFonts w:ascii="Gill Sans MT" w:hAnsi="Gill Sans MT"/>
          <w:b w:val="0"/>
          <w:bCs/>
          <w:sz w:val="16"/>
          <w:szCs w:val="16"/>
        </w:rPr>
        <w:t xml:space="preserve"> SA, Hassan MAE, </w:t>
      </w:r>
      <w:r w:rsidRPr="00C62FFF">
        <w:rPr>
          <w:rStyle w:val="Strong"/>
          <w:rFonts w:ascii="Gill Sans MT" w:hAnsi="Gill Sans MT"/>
          <w:b w:val="0"/>
          <w:bCs/>
          <w:color w:val="2E74B5" w:themeColor="accent1" w:themeShade="BF"/>
          <w:sz w:val="16"/>
          <w:szCs w:val="16"/>
        </w:rPr>
        <w:t>El-Ratel</w:t>
      </w:r>
      <w:r w:rsidRPr="006A7DAE">
        <w:rPr>
          <w:rStyle w:val="Strong"/>
          <w:rFonts w:ascii="Gill Sans MT" w:hAnsi="Gill Sans MT"/>
          <w:b w:val="0"/>
          <w:bCs/>
          <w:sz w:val="16"/>
          <w:szCs w:val="16"/>
        </w:rPr>
        <w:t xml:space="preserve"> IT,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xml:space="preserve"> Effect of addition of L-carnitine to cryopreservation extender on rabbit post-thaw semen parameters, antioxidant capacity, mitochondrial function, apoptosis and ultrastructure changes.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Domest</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Anim</w:t>
      </w:r>
      <w:proofErr w:type="spellEnd"/>
      <w:r w:rsidRPr="006A7DAE">
        <w:rPr>
          <w:rFonts w:ascii="Gill Sans MT" w:hAnsi="Gill Sans MT"/>
          <w:bCs/>
          <w:sz w:val="16"/>
          <w:szCs w:val="16"/>
        </w:rPr>
        <w:t xml:space="preserve"> 57(8):902-11.</w:t>
      </w:r>
    </w:p>
    <w:p w14:paraId="44965F3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 xml:space="preserve">Abdelnour </w:t>
      </w:r>
      <w:r w:rsidRPr="006A7DAE">
        <w:rPr>
          <w:rStyle w:val="Strong"/>
          <w:rFonts w:ascii="Gill Sans MT" w:hAnsi="Gill Sans MT"/>
          <w:b w:val="0"/>
          <w:bCs/>
          <w:sz w:val="16"/>
          <w:szCs w:val="16"/>
        </w:rPr>
        <w:t xml:space="preserve">SA, Khalil WA, Khalifa NE,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2024.</w:t>
      </w:r>
      <w:r w:rsidRPr="006A7DAE">
        <w:rPr>
          <w:rFonts w:ascii="Gill Sans MT" w:hAnsi="Gill Sans MT"/>
          <w:bCs/>
          <w:sz w:val="16"/>
          <w:szCs w:val="16"/>
        </w:rPr>
        <w:t xml:space="preserve"> L-proline: a promising tool for boosting cryotolerance and fertilizing ability of cryopreserved sperm in animals. </w:t>
      </w:r>
      <w:proofErr w:type="spellStart"/>
      <w:r w:rsidRPr="006A7DAE">
        <w:rPr>
          <w:rFonts w:ascii="Gill Sans MT" w:hAnsi="Gill Sans MT"/>
          <w:bCs/>
          <w:sz w:val="16"/>
          <w:szCs w:val="16"/>
        </w:rPr>
        <w:t>Anim</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Sci</w:t>
      </w:r>
      <w:proofErr w:type="spellEnd"/>
      <w:r w:rsidRPr="006A7DAE">
        <w:rPr>
          <w:rFonts w:ascii="Gill Sans MT" w:hAnsi="Gill Sans MT"/>
          <w:bCs/>
          <w:sz w:val="16"/>
          <w:szCs w:val="16"/>
        </w:rPr>
        <w:t xml:space="preserve"> 263:107429.</w:t>
      </w:r>
    </w:p>
    <w:p w14:paraId="57D0972D"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Ahangari</w:t>
      </w:r>
      <w:proofErr w:type="spellEnd"/>
      <w:r w:rsidRPr="006A7DAE">
        <w:rPr>
          <w:rStyle w:val="Strong"/>
          <w:rFonts w:ascii="Gill Sans MT" w:hAnsi="Gill Sans MT"/>
          <w:b w:val="0"/>
          <w:bCs/>
          <w:sz w:val="16"/>
          <w:szCs w:val="16"/>
        </w:rPr>
        <w:t xml:space="preserve"> JY, </w:t>
      </w:r>
      <w:proofErr w:type="spellStart"/>
      <w:r w:rsidRPr="006A7DAE">
        <w:rPr>
          <w:rStyle w:val="Strong"/>
          <w:rFonts w:ascii="Gill Sans MT" w:hAnsi="Gill Sans MT"/>
          <w:b w:val="0"/>
          <w:bCs/>
          <w:sz w:val="16"/>
          <w:szCs w:val="16"/>
        </w:rPr>
        <w:t>Parizadian</w:t>
      </w:r>
      <w:proofErr w:type="spellEnd"/>
      <w:r w:rsidRPr="006A7DAE">
        <w:rPr>
          <w:rStyle w:val="Strong"/>
          <w:rFonts w:ascii="Gill Sans MT" w:hAnsi="Gill Sans MT"/>
          <w:b w:val="0"/>
          <w:bCs/>
          <w:sz w:val="16"/>
          <w:szCs w:val="16"/>
        </w:rPr>
        <w:t xml:space="preserve"> B, </w:t>
      </w:r>
      <w:proofErr w:type="spellStart"/>
      <w:r w:rsidRPr="006A7DAE">
        <w:rPr>
          <w:rStyle w:val="Strong"/>
          <w:rFonts w:ascii="Gill Sans MT" w:hAnsi="Gill Sans MT"/>
          <w:b w:val="0"/>
          <w:bCs/>
          <w:sz w:val="16"/>
          <w:szCs w:val="16"/>
        </w:rPr>
        <w:t>Akhlaghi</w:t>
      </w:r>
      <w:proofErr w:type="spellEnd"/>
      <w:r w:rsidRPr="006A7DAE">
        <w:rPr>
          <w:rStyle w:val="Strong"/>
          <w:rFonts w:ascii="Gill Sans MT" w:hAnsi="Gill Sans MT"/>
          <w:b w:val="0"/>
          <w:bCs/>
          <w:sz w:val="16"/>
          <w:szCs w:val="16"/>
        </w:rPr>
        <w:t xml:space="preserve"> A,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2014.</w:t>
      </w:r>
      <w:r w:rsidRPr="006A7DAE">
        <w:rPr>
          <w:rFonts w:ascii="Gill Sans MT" w:hAnsi="Gill Sans MT"/>
          <w:bCs/>
          <w:sz w:val="16"/>
          <w:szCs w:val="16"/>
        </w:rPr>
        <w:t xml:space="preserve"> Effect of dietary L-carnitine supplementation on semen characteristics of male Japanese quail. Comp </w:t>
      </w:r>
      <w:proofErr w:type="spellStart"/>
      <w:r w:rsidRPr="006A7DAE">
        <w:rPr>
          <w:rFonts w:ascii="Gill Sans MT" w:hAnsi="Gill Sans MT"/>
          <w:bCs/>
          <w:sz w:val="16"/>
          <w:szCs w:val="16"/>
        </w:rPr>
        <w:t>Clin</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Pathol</w:t>
      </w:r>
      <w:proofErr w:type="spellEnd"/>
      <w:r w:rsidRPr="006A7DAE">
        <w:rPr>
          <w:rFonts w:ascii="Gill Sans MT" w:hAnsi="Gill Sans MT"/>
          <w:bCs/>
          <w:sz w:val="16"/>
          <w:szCs w:val="16"/>
        </w:rPr>
        <w:t xml:space="preserve"> 23(1):47-51.</w:t>
      </w:r>
    </w:p>
    <w:p w14:paraId="78448863"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lang w:val="pt-BR"/>
        </w:rPr>
      </w:pPr>
      <w:r w:rsidRPr="00C62FFF">
        <w:rPr>
          <w:rStyle w:val="Strong"/>
          <w:rFonts w:ascii="Gill Sans MT" w:hAnsi="Gill Sans MT"/>
          <w:b w:val="0"/>
          <w:bCs/>
          <w:color w:val="2E74B5" w:themeColor="accent1" w:themeShade="BF"/>
          <w:sz w:val="16"/>
          <w:szCs w:val="16"/>
        </w:rPr>
        <w:t>Alharthi</w:t>
      </w:r>
      <w:r w:rsidRPr="006A7DAE">
        <w:rPr>
          <w:rStyle w:val="Strong"/>
          <w:rFonts w:ascii="Gill Sans MT" w:hAnsi="Gill Sans MT"/>
          <w:b w:val="0"/>
          <w:bCs/>
          <w:sz w:val="16"/>
          <w:szCs w:val="16"/>
        </w:rPr>
        <w:t xml:space="preserve"> WA, Hamza RZ, </w:t>
      </w:r>
      <w:proofErr w:type="spellStart"/>
      <w:r w:rsidRPr="006A7DAE">
        <w:rPr>
          <w:rStyle w:val="Strong"/>
          <w:rFonts w:ascii="Gill Sans MT" w:hAnsi="Gill Sans MT"/>
          <w:b w:val="0"/>
          <w:bCs/>
          <w:sz w:val="16"/>
          <w:szCs w:val="16"/>
        </w:rPr>
        <w:t>Elmahdi</w:t>
      </w:r>
      <w:proofErr w:type="spellEnd"/>
      <w:r w:rsidRPr="006A7DAE">
        <w:rPr>
          <w:rStyle w:val="Strong"/>
          <w:rFonts w:ascii="Gill Sans MT" w:hAnsi="Gill Sans MT"/>
          <w:b w:val="0"/>
          <w:bCs/>
          <w:sz w:val="16"/>
          <w:szCs w:val="16"/>
        </w:rPr>
        <w:t xml:space="preserve"> MM,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2020.</w:t>
      </w:r>
      <w:r w:rsidRPr="006A7DAE">
        <w:rPr>
          <w:rFonts w:ascii="Gill Sans MT" w:hAnsi="Gill Sans MT"/>
          <w:bCs/>
          <w:sz w:val="16"/>
          <w:szCs w:val="16"/>
        </w:rPr>
        <w:t xml:space="preserve"> Selenium and L-carnitine ameliorate reproductive toxicity induced by cadmium in male mice. </w:t>
      </w:r>
      <w:r w:rsidRPr="006A7DAE">
        <w:rPr>
          <w:rFonts w:ascii="Gill Sans MT" w:hAnsi="Gill Sans MT"/>
          <w:bCs/>
          <w:sz w:val="16"/>
          <w:szCs w:val="16"/>
          <w:lang w:val="pt-BR"/>
        </w:rPr>
        <w:t>Biol Trace Elem Res 197:619-27.</w:t>
      </w:r>
    </w:p>
    <w:p w14:paraId="78314582"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lang w:val="sv-SE"/>
        </w:rPr>
      </w:pPr>
      <w:r w:rsidRPr="00C62FFF">
        <w:rPr>
          <w:rStyle w:val="Strong"/>
          <w:rFonts w:ascii="Gill Sans MT" w:hAnsi="Gill Sans MT"/>
          <w:b w:val="0"/>
          <w:bCs/>
          <w:color w:val="2E74B5" w:themeColor="accent1" w:themeShade="BF"/>
          <w:sz w:val="16"/>
          <w:szCs w:val="16"/>
          <w:lang w:val="pt-BR"/>
        </w:rPr>
        <w:t>Aydos</w:t>
      </w:r>
      <w:r w:rsidRPr="006A7DAE">
        <w:rPr>
          <w:rStyle w:val="Strong"/>
          <w:rFonts w:ascii="Gill Sans MT" w:hAnsi="Gill Sans MT"/>
          <w:b w:val="0"/>
          <w:bCs/>
          <w:sz w:val="16"/>
          <w:szCs w:val="16"/>
          <w:lang w:val="pt-BR"/>
        </w:rPr>
        <w:t xml:space="preserve"> OS, Yukselten Y, Aydos D, </w:t>
      </w:r>
      <w:r w:rsidRPr="006A7DAE">
        <w:rPr>
          <w:rStyle w:val="Strong"/>
          <w:rFonts w:ascii="Gill Sans MT" w:hAnsi="Gill Sans MT"/>
          <w:b w:val="0"/>
          <w:bCs/>
          <w:i/>
          <w:iCs/>
          <w:sz w:val="16"/>
          <w:szCs w:val="16"/>
          <w:lang w:val="pt-BR"/>
        </w:rPr>
        <w:t>et al.</w:t>
      </w:r>
      <w:r w:rsidRPr="006A7DAE">
        <w:rPr>
          <w:rStyle w:val="Strong"/>
          <w:rFonts w:ascii="Gill Sans MT" w:hAnsi="Gill Sans MT"/>
          <w:b w:val="0"/>
          <w:bCs/>
          <w:sz w:val="16"/>
          <w:szCs w:val="16"/>
          <w:lang w:val="pt-BR"/>
        </w:rPr>
        <w:t>, 2021.</w:t>
      </w:r>
      <w:r w:rsidRPr="006A7DAE">
        <w:rPr>
          <w:rFonts w:ascii="Gill Sans MT" w:hAnsi="Gill Sans MT"/>
          <w:bCs/>
          <w:sz w:val="16"/>
          <w:szCs w:val="16"/>
          <w:lang w:val="pt-BR"/>
        </w:rPr>
        <w:t> </w:t>
      </w:r>
      <w:r w:rsidRPr="006A7DAE">
        <w:rPr>
          <w:rFonts w:ascii="Gill Sans MT" w:hAnsi="Gill Sans MT"/>
          <w:bCs/>
          <w:sz w:val="16"/>
          <w:szCs w:val="16"/>
        </w:rPr>
        <w:t xml:space="preserve">Relationship between functional NRF2 gene promoter polymorphism and sperm DNA damage in male infertility. </w:t>
      </w:r>
      <w:r w:rsidRPr="006A7DAE">
        <w:rPr>
          <w:rFonts w:ascii="Gill Sans MT" w:hAnsi="Gill Sans MT"/>
          <w:bCs/>
          <w:sz w:val="16"/>
          <w:szCs w:val="16"/>
          <w:lang w:val="sv-SE"/>
        </w:rPr>
        <w:t>Syst Biol Reprod Med 67:399-412.</w:t>
      </w:r>
    </w:p>
    <w:p w14:paraId="15447CB2"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lang w:val="sv-SE"/>
        </w:rPr>
        <w:t>Blagojević</w:t>
      </w:r>
      <w:r w:rsidRPr="006A7DAE">
        <w:rPr>
          <w:rStyle w:val="Strong"/>
          <w:rFonts w:ascii="Gill Sans MT" w:hAnsi="Gill Sans MT"/>
          <w:b w:val="0"/>
          <w:bCs/>
          <w:sz w:val="16"/>
          <w:szCs w:val="16"/>
          <w:lang w:val="sv-SE"/>
        </w:rPr>
        <w:t xml:space="preserve"> J, Stanimirović Z, Glavinić U, </w:t>
      </w:r>
      <w:r w:rsidRPr="006A7DAE">
        <w:rPr>
          <w:rStyle w:val="Strong"/>
          <w:rFonts w:ascii="Gill Sans MT" w:hAnsi="Gill Sans MT"/>
          <w:b w:val="0"/>
          <w:bCs/>
          <w:i/>
          <w:iCs/>
          <w:sz w:val="16"/>
          <w:szCs w:val="16"/>
          <w:lang w:val="sv-SE"/>
        </w:rPr>
        <w:t>et al.</w:t>
      </w:r>
      <w:r w:rsidRPr="006A7DAE">
        <w:rPr>
          <w:rStyle w:val="Strong"/>
          <w:rFonts w:ascii="Gill Sans MT" w:hAnsi="Gill Sans MT"/>
          <w:b w:val="0"/>
          <w:bCs/>
          <w:sz w:val="16"/>
          <w:szCs w:val="16"/>
          <w:lang w:val="sv-SE"/>
        </w:rPr>
        <w:t>, 2024.</w:t>
      </w:r>
      <w:r w:rsidRPr="006A7DAE">
        <w:rPr>
          <w:rFonts w:ascii="Gill Sans MT" w:hAnsi="Gill Sans MT"/>
          <w:bCs/>
          <w:sz w:val="16"/>
          <w:szCs w:val="16"/>
          <w:lang w:val="sv-SE"/>
        </w:rPr>
        <w:t> </w:t>
      </w:r>
      <w:r w:rsidRPr="006A7DAE">
        <w:rPr>
          <w:rFonts w:ascii="Gill Sans MT" w:hAnsi="Gill Sans MT"/>
          <w:bCs/>
          <w:sz w:val="16"/>
          <w:szCs w:val="16"/>
        </w:rPr>
        <w:t>Impact of supplemented nutrition on semen quality, epigenetic-related gene expression, and oxidative status in boars. Animals (Basel) 14(22):3297.</w:t>
      </w:r>
    </w:p>
    <w:p w14:paraId="7F7084DD"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Brecchia</w:t>
      </w:r>
      <w:proofErr w:type="spellEnd"/>
      <w:r w:rsidRPr="006A7DAE">
        <w:rPr>
          <w:rStyle w:val="Strong"/>
          <w:rFonts w:ascii="Gill Sans MT" w:hAnsi="Gill Sans MT"/>
          <w:b w:val="0"/>
          <w:bCs/>
          <w:sz w:val="16"/>
          <w:szCs w:val="16"/>
        </w:rPr>
        <w:t xml:space="preserve"> G, </w:t>
      </w:r>
      <w:proofErr w:type="spellStart"/>
      <w:r w:rsidRPr="006A7DAE">
        <w:rPr>
          <w:rStyle w:val="Strong"/>
          <w:rFonts w:ascii="Gill Sans MT" w:hAnsi="Gill Sans MT"/>
          <w:b w:val="0"/>
          <w:bCs/>
          <w:sz w:val="16"/>
          <w:szCs w:val="16"/>
        </w:rPr>
        <w:t>Muça</w:t>
      </w:r>
      <w:proofErr w:type="spellEnd"/>
      <w:r w:rsidRPr="006A7DAE">
        <w:rPr>
          <w:rStyle w:val="Strong"/>
          <w:rFonts w:ascii="Gill Sans MT" w:hAnsi="Gill Sans MT"/>
          <w:b w:val="0"/>
          <w:bCs/>
          <w:sz w:val="16"/>
          <w:szCs w:val="16"/>
        </w:rPr>
        <w:t xml:space="preserve"> G, Munga A,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2023.</w:t>
      </w:r>
      <w:r w:rsidRPr="006A7DAE">
        <w:rPr>
          <w:rFonts w:ascii="Gill Sans MT" w:hAnsi="Gill Sans MT"/>
          <w:bCs/>
          <w:sz w:val="16"/>
          <w:szCs w:val="16"/>
        </w:rPr>
        <w:t> Goji berry in the diet of the rabbit buck: effects on semen quality, oxidative status and histological features of the reproductive tract. Antioxidants (Basel) 12(11):1959.</w:t>
      </w:r>
    </w:p>
    <w:p w14:paraId="1AA60813"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Cao</w:t>
      </w:r>
      <w:r w:rsidRPr="006A7DAE">
        <w:rPr>
          <w:rStyle w:val="Strong"/>
          <w:rFonts w:ascii="Gill Sans MT" w:hAnsi="Gill Sans MT"/>
          <w:b w:val="0"/>
          <w:bCs/>
          <w:sz w:val="16"/>
          <w:szCs w:val="16"/>
        </w:rPr>
        <w:t xml:space="preserve"> Y, Li X, Wang C,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2015.</w:t>
      </w:r>
      <w:r w:rsidRPr="006A7DAE">
        <w:rPr>
          <w:rFonts w:ascii="Gill Sans MT" w:hAnsi="Gill Sans MT"/>
          <w:bCs/>
          <w:sz w:val="16"/>
          <w:szCs w:val="16"/>
        </w:rPr>
        <w:t xml:space="preserve"> Role of NF-E2-related factor 2 in neuroprotective effect of L-Carnitine against high glucose-induced oxidative stress in the retinal ganglion cells. Biomed </w:t>
      </w:r>
      <w:proofErr w:type="spellStart"/>
      <w:r w:rsidRPr="006A7DAE">
        <w:rPr>
          <w:rFonts w:ascii="Gill Sans MT" w:hAnsi="Gill Sans MT"/>
          <w:bCs/>
          <w:sz w:val="16"/>
          <w:szCs w:val="16"/>
        </w:rPr>
        <w:t>Pharmacother</w:t>
      </w:r>
      <w:proofErr w:type="spellEnd"/>
      <w:r w:rsidRPr="006A7DAE">
        <w:rPr>
          <w:rFonts w:ascii="Gill Sans MT" w:hAnsi="Gill Sans MT"/>
          <w:bCs/>
          <w:sz w:val="16"/>
          <w:szCs w:val="16"/>
        </w:rPr>
        <w:t xml:space="preserve"> 69:345-348.</w:t>
      </w:r>
    </w:p>
    <w:p w14:paraId="6E90890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Cilio</w:t>
      </w:r>
      <w:r w:rsidRPr="006A7DAE">
        <w:rPr>
          <w:rStyle w:val="Strong"/>
          <w:rFonts w:ascii="Gill Sans MT" w:hAnsi="Gill Sans MT"/>
          <w:b w:val="0"/>
          <w:bCs/>
          <w:sz w:val="16"/>
          <w:szCs w:val="16"/>
        </w:rPr>
        <w:t xml:space="preserve"> S, Rienzo M, Villano G,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Beneficial effects of antioxidants in male infertility management: a narrative review. Oxygen 2(1):1-11.</w:t>
      </w:r>
    </w:p>
    <w:p w14:paraId="39E6DB38"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Fonts w:ascii="Gill Sans MT" w:hAnsi="Gill Sans MT"/>
          <w:bCs/>
          <w:color w:val="2E74B5" w:themeColor="accent1" w:themeShade="BF"/>
          <w:sz w:val="16"/>
          <w:szCs w:val="16"/>
        </w:rPr>
        <w:lastRenderedPageBreak/>
        <w:t>Cullere</w:t>
      </w:r>
      <w:proofErr w:type="spellEnd"/>
      <w:r w:rsidRPr="006A7DAE">
        <w:rPr>
          <w:rFonts w:ascii="Gill Sans MT" w:hAnsi="Gill Sans MT"/>
          <w:bCs/>
          <w:sz w:val="16"/>
          <w:szCs w:val="16"/>
        </w:rPr>
        <w:t xml:space="preserve"> M and </w:t>
      </w:r>
      <w:proofErr w:type="spellStart"/>
      <w:r w:rsidRPr="006A7DAE">
        <w:rPr>
          <w:rFonts w:ascii="Gill Sans MT" w:hAnsi="Gill Sans MT"/>
          <w:bCs/>
          <w:sz w:val="16"/>
          <w:szCs w:val="16"/>
        </w:rPr>
        <w:t>Zotte</w:t>
      </w:r>
      <w:proofErr w:type="spellEnd"/>
      <w:r w:rsidRPr="006A7DAE">
        <w:rPr>
          <w:rFonts w:ascii="Gill Sans MT" w:hAnsi="Gill Sans MT"/>
          <w:bCs/>
          <w:sz w:val="16"/>
          <w:szCs w:val="16"/>
        </w:rPr>
        <w:t xml:space="preserve"> AD, 2018. Rabbit meat production and consumption: State of knowledge and future perspectives. Meat Sci 143:137-46.</w:t>
      </w:r>
    </w:p>
    <w:p w14:paraId="6874B401"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Dhaigude</w:t>
      </w:r>
      <w:proofErr w:type="spellEnd"/>
      <w:r w:rsidRPr="006A7DAE">
        <w:rPr>
          <w:rStyle w:val="Strong"/>
          <w:rFonts w:ascii="Gill Sans MT" w:hAnsi="Gill Sans MT"/>
          <w:b w:val="0"/>
          <w:bCs/>
          <w:sz w:val="16"/>
          <w:szCs w:val="16"/>
        </w:rPr>
        <w:t xml:space="preserve"> V, Chaudhary P, Nair MP,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2025.</w:t>
      </w:r>
      <w:r w:rsidRPr="006A7DAE">
        <w:rPr>
          <w:rFonts w:ascii="Gill Sans MT" w:hAnsi="Gill Sans MT"/>
          <w:bCs/>
          <w:sz w:val="16"/>
          <w:szCs w:val="16"/>
        </w:rPr>
        <w:t> Effects of specific micronutrients on semen quality and reproductive outcomes in peripubertal Sahiwal bulls. Biol Trace Elem Res (</w:t>
      </w:r>
      <w:proofErr w:type="spellStart"/>
      <w:r w:rsidRPr="006A7DAE">
        <w:rPr>
          <w:rFonts w:ascii="Gill Sans MT" w:hAnsi="Gill Sans MT"/>
          <w:bCs/>
          <w:sz w:val="16"/>
          <w:szCs w:val="16"/>
        </w:rPr>
        <w:t>prepublish</w:t>
      </w:r>
      <w:proofErr w:type="spellEnd"/>
      <w:r w:rsidRPr="006A7DAE">
        <w:rPr>
          <w:rFonts w:ascii="Gill Sans MT" w:hAnsi="Gill Sans MT"/>
          <w:bCs/>
          <w:sz w:val="16"/>
          <w:szCs w:val="16"/>
        </w:rPr>
        <w:t xml:space="preserve">):1-17. </w:t>
      </w:r>
      <w:proofErr w:type="spellStart"/>
      <w:r w:rsidRPr="006A7DAE">
        <w:rPr>
          <w:rFonts w:ascii="Gill Sans MT" w:hAnsi="Gill Sans MT"/>
          <w:bCs/>
          <w:sz w:val="16"/>
          <w:szCs w:val="16"/>
        </w:rPr>
        <w:t>doi</w:t>
      </w:r>
      <w:proofErr w:type="spellEnd"/>
      <w:r w:rsidRPr="006A7DAE">
        <w:rPr>
          <w:rFonts w:ascii="Gill Sans MT" w:hAnsi="Gill Sans MT"/>
          <w:bCs/>
          <w:sz w:val="16"/>
          <w:szCs w:val="16"/>
        </w:rPr>
        <w:t>: 10.1007/s12011-025-04733-8.</w:t>
      </w:r>
    </w:p>
    <w:p w14:paraId="602A8133"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Di Nisio</w:t>
      </w:r>
      <w:r w:rsidRPr="006A7DAE">
        <w:rPr>
          <w:rStyle w:val="Strong"/>
          <w:rFonts w:ascii="Gill Sans MT" w:hAnsi="Gill Sans MT"/>
          <w:b w:val="0"/>
          <w:bCs/>
          <w:sz w:val="16"/>
          <w:szCs w:val="16"/>
        </w:rPr>
        <w:t xml:space="preserve"> A, De Toni L, Sabovic I,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2023.</w:t>
      </w:r>
      <w:r w:rsidRPr="006A7DAE">
        <w:rPr>
          <w:rFonts w:ascii="Gill Sans MT" w:hAnsi="Gill Sans MT"/>
          <w:bCs/>
          <w:sz w:val="16"/>
          <w:szCs w:val="16"/>
        </w:rPr>
        <w:t> Lipidomic profile of human sperm membrane identifies a clustering of lipids associated with semen quality and function. Int J Mol Sci 25(1):297.</w:t>
      </w:r>
    </w:p>
    <w:p w14:paraId="59AB5E83"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Díaz</w:t>
      </w:r>
      <w:proofErr w:type="spellEnd"/>
      <w:r w:rsidRPr="00C62FFF">
        <w:rPr>
          <w:rStyle w:val="Strong"/>
          <w:rFonts w:ascii="Gill Sans MT" w:hAnsi="Gill Sans MT"/>
          <w:b w:val="0"/>
          <w:bCs/>
          <w:color w:val="2E74B5" w:themeColor="accent1" w:themeShade="BF"/>
          <w:sz w:val="16"/>
          <w:szCs w:val="16"/>
        </w:rPr>
        <w:t>-Cano</w:t>
      </w:r>
      <w:r w:rsidRPr="006A7DAE">
        <w:rPr>
          <w:rStyle w:val="Strong"/>
          <w:rFonts w:ascii="Gill Sans MT" w:hAnsi="Gill Sans MT"/>
          <w:b w:val="0"/>
          <w:bCs/>
          <w:sz w:val="16"/>
          <w:szCs w:val="16"/>
        </w:rPr>
        <w:t xml:space="preserve"> JV, </w:t>
      </w:r>
      <w:proofErr w:type="spellStart"/>
      <w:r w:rsidRPr="006A7DAE">
        <w:rPr>
          <w:rStyle w:val="Strong"/>
          <w:rFonts w:ascii="Gill Sans MT" w:hAnsi="Gill Sans MT"/>
          <w:b w:val="0"/>
          <w:bCs/>
          <w:sz w:val="16"/>
          <w:szCs w:val="16"/>
        </w:rPr>
        <w:t>Argente</w:t>
      </w:r>
      <w:proofErr w:type="spellEnd"/>
      <w:r w:rsidRPr="006A7DAE">
        <w:rPr>
          <w:rStyle w:val="Strong"/>
          <w:rFonts w:ascii="Gill Sans MT" w:hAnsi="Gill Sans MT"/>
          <w:b w:val="0"/>
          <w:bCs/>
          <w:sz w:val="16"/>
          <w:szCs w:val="16"/>
        </w:rPr>
        <w:t xml:space="preserve"> MJ and García ML, 2021.</w:t>
      </w:r>
      <w:r w:rsidRPr="006A7DAE">
        <w:rPr>
          <w:rFonts w:ascii="Gill Sans MT" w:hAnsi="Gill Sans MT"/>
          <w:bCs/>
          <w:sz w:val="16"/>
          <w:szCs w:val="16"/>
        </w:rPr>
        <w:t> Effect of postbiotic based on lactic acid bacteria on semen quality and health of male rabbits. Animals (Basel) 11(4):1007.</w:t>
      </w:r>
    </w:p>
    <w:p w14:paraId="1E55B164"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Dong</w:t>
      </w:r>
      <w:r w:rsidRPr="006A7DAE">
        <w:rPr>
          <w:rStyle w:val="Strong"/>
          <w:rFonts w:ascii="Gill Sans MT" w:hAnsi="Gill Sans MT"/>
          <w:b w:val="0"/>
          <w:bCs/>
          <w:sz w:val="16"/>
          <w:szCs w:val="16"/>
        </w:rPr>
        <w:t xml:space="preserve"> HJ, Wu D, Xu SY,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2016.</w:t>
      </w:r>
      <w:r w:rsidRPr="006A7DAE">
        <w:rPr>
          <w:rFonts w:ascii="Gill Sans MT" w:hAnsi="Gill Sans MT"/>
          <w:bCs/>
          <w:sz w:val="16"/>
          <w:szCs w:val="16"/>
        </w:rPr>
        <w:t xml:space="preserve"> Effect of dietary supplementation with amino acids on boar sperm quality and fertility. </w:t>
      </w:r>
      <w:proofErr w:type="spellStart"/>
      <w:r w:rsidRPr="006A7DAE">
        <w:rPr>
          <w:rFonts w:ascii="Gill Sans MT" w:hAnsi="Gill Sans MT"/>
          <w:bCs/>
          <w:sz w:val="16"/>
          <w:szCs w:val="16"/>
        </w:rPr>
        <w:t>Anim</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Sci</w:t>
      </w:r>
      <w:proofErr w:type="spellEnd"/>
      <w:r w:rsidRPr="006A7DAE">
        <w:rPr>
          <w:rFonts w:ascii="Gill Sans MT" w:hAnsi="Gill Sans MT"/>
          <w:bCs/>
          <w:sz w:val="16"/>
          <w:szCs w:val="16"/>
        </w:rPr>
        <w:t xml:space="preserve"> 172:182-89.</w:t>
      </w:r>
    </w:p>
    <w:p w14:paraId="58830F16"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Fonts w:ascii="Gill Sans MT" w:hAnsi="Gill Sans MT"/>
          <w:color w:val="2E74B5" w:themeColor="accent1" w:themeShade="BF"/>
          <w:sz w:val="16"/>
          <w:szCs w:val="16"/>
        </w:rPr>
        <w:t>Elokil</w:t>
      </w:r>
      <w:proofErr w:type="spellEnd"/>
      <w:r w:rsidRPr="006A7DAE">
        <w:rPr>
          <w:rStyle w:val="Strong"/>
          <w:rFonts w:ascii="Gill Sans MT" w:hAnsi="Gill Sans MT"/>
          <w:b w:val="0"/>
          <w:bCs/>
          <w:sz w:val="16"/>
          <w:szCs w:val="16"/>
        </w:rPr>
        <w:t xml:space="preserve"> AA, </w:t>
      </w:r>
      <w:proofErr w:type="spellStart"/>
      <w:r w:rsidRPr="006A7DAE">
        <w:rPr>
          <w:rStyle w:val="Strong"/>
          <w:rFonts w:ascii="Gill Sans MT" w:hAnsi="Gill Sans MT"/>
          <w:b w:val="0"/>
          <w:bCs/>
          <w:sz w:val="16"/>
          <w:szCs w:val="16"/>
        </w:rPr>
        <w:t>Bhuiyan</w:t>
      </w:r>
      <w:proofErr w:type="spellEnd"/>
      <w:r w:rsidRPr="006A7DAE">
        <w:rPr>
          <w:rStyle w:val="Strong"/>
          <w:rFonts w:ascii="Gill Sans MT" w:hAnsi="Gill Sans MT"/>
          <w:b w:val="0"/>
          <w:bCs/>
          <w:sz w:val="16"/>
          <w:szCs w:val="16"/>
        </w:rPr>
        <w:t xml:space="preserve"> AA, Liu H,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2019.</w:t>
      </w:r>
      <w:r w:rsidRPr="006A7DAE">
        <w:rPr>
          <w:rFonts w:ascii="Gill Sans MT" w:hAnsi="Gill Sans MT"/>
          <w:bCs/>
          <w:sz w:val="16"/>
          <w:szCs w:val="16"/>
        </w:rPr>
        <w:t xml:space="preserve"> The capability of L-carnitine-mediated antioxidant on cock during aging: evidence for the improved semen quality and enhanced testicular expressions of GnRH1, </w:t>
      </w:r>
      <w:proofErr w:type="spellStart"/>
      <w:r w:rsidRPr="006A7DAE">
        <w:rPr>
          <w:rFonts w:ascii="Gill Sans MT" w:hAnsi="Gill Sans MT"/>
          <w:bCs/>
          <w:sz w:val="16"/>
          <w:szCs w:val="16"/>
        </w:rPr>
        <w:t>GnRHR</w:t>
      </w:r>
      <w:proofErr w:type="spellEnd"/>
      <w:r w:rsidRPr="006A7DAE">
        <w:rPr>
          <w:rFonts w:ascii="Gill Sans MT" w:hAnsi="Gill Sans MT"/>
          <w:bCs/>
          <w:sz w:val="16"/>
          <w:szCs w:val="16"/>
        </w:rPr>
        <w:t>, and melatonin receptors MT 1/2. Poult Sci 98:4172-81.</w:t>
      </w:r>
    </w:p>
    <w:p w14:paraId="36E69CF4"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El-Ratel</w:t>
      </w:r>
      <w:r w:rsidRPr="006A7DAE">
        <w:rPr>
          <w:rStyle w:val="Strong"/>
          <w:rFonts w:ascii="Gill Sans MT" w:hAnsi="Gill Sans MT"/>
          <w:b w:val="0"/>
          <w:bCs/>
          <w:sz w:val="16"/>
          <w:szCs w:val="16"/>
        </w:rPr>
        <w:t xml:space="preserve"> IT, Attia KAH, El-Raghi AA,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2021.</w:t>
      </w:r>
      <w:r w:rsidRPr="006A7DAE">
        <w:rPr>
          <w:rFonts w:ascii="Gill Sans MT" w:hAnsi="Gill Sans MT"/>
          <w:bCs/>
          <w:sz w:val="16"/>
          <w:szCs w:val="16"/>
        </w:rPr>
        <w:t xml:space="preserve"> Relief of the negative effects of heat stress on semen quality, reproductive efficiency and oxidative capacity of rabbit bucks using different natural antioxidants. </w:t>
      </w:r>
      <w:proofErr w:type="spellStart"/>
      <w:r w:rsidRPr="006A7DAE">
        <w:rPr>
          <w:rFonts w:ascii="Gill Sans MT" w:hAnsi="Gill Sans MT"/>
          <w:bCs/>
          <w:sz w:val="16"/>
          <w:szCs w:val="16"/>
        </w:rPr>
        <w:t>Anim</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Biosci</w:t>
      </w:r>
      <w:proofErr w:type="spellEnd"/>
      <w:r w:rsidRPr="006A7DAE">
        <w:rPr>
          <w:rFonts w:ascii="Gill Sans MT" w:hAnsi="Gill Sans MT"/>
          <w:bCs/>
          <w:sz w:val="16"/>
          <w:szCs w:val="16"/>
        </w:rPr>
        <w:t xml:space="preserve"> 34(5):844-54.</w:t>
      </w:r>
    </w:p>
    <w:p w14:paraId="48200DF0"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Fonts w:ascii="Gill Sans MT" w:hAnsi="Gill Sans MT"/>
          <w:bCs/>
          <w:color w:val="2E74B5" w:themeColor="accent1" w:themeShade="BF"/>
          <w:sz w:val="16"/>
          <w:szCs w:val="16"/>
        </w:rPr>
        <w:t>Ewuola</w:t>
      </w:r>
      <w:proofErr w:type="spellEnd"/>
      <w:r w:rsidRPr="006A7DAE">
        <w:rPr>
          <w:rFonts w:ascii="Gill Sans MT" w:hAnsi="Gill Sans MT"/>
          <w:bCs/>
          <w:sz w:val="16"/>
          <w:szCs w:val="16"/>
        </w:rPr>
        <w:t xml:space="preserve"> E, </w:t>
      </w:r>
      <w:proofErr w:type="spellStart"/>
      <w:r w:rsidRPr="006A7DAE">
        <w:rPr>
          <w:rFonts w:ascii="Gill Sans MT" w:hAnsi="Gill Sans MT"/>
          <w:bCs/>
          <w:sz w:val="16"/>
          <w:szCs w:val="16"/>
        </w:rPr>
        <w:t>Lawanson</w:t>
      </w:r>
      <w:proofErr w:type="spellEnd"/>
      <w:r w:rsidRPr="006A7DAE">
        <w:rPr>
          <w:rFonts w:ascii="Gill Sans MT" w:hAnsi="Gill Sans MT"/>
          <w:bCs/>
          <w:sz w:val="16"/>
          <w:szCs w:val="16"/>
        </w:rPr>
        <w:t xml:space="preserve">, A and Adeyemi, AA, 2014. An improvised artificial vagina for rabbit semen collection and the characteristics of the extended rabbit semen as panacea for artificial insemination. Trop Anim Prod Invest 17: 19-24. </w:t>
      </w:r>
    </w:p>
    <w:p w14:paraId="10C38D1A"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Farhadi</w:t>
      </w:r>
      <w:r w:rsidRPr="006A7DAE">
        <w:rPr>
          <w:rStyle w:val="Strong"/>
          <w:rFonts w:ascii="Gill Sans MT" w:hAnsi="Gill Sans MT"/>
          <w:b w:val="0"/>
          <w:bCs/>
          <w:sz w:val="16"/>
          <w:szCs w:val="16"/>
        </w:rPr>
        <w:t xml:space="preserve"> R, Farshad A, Najafi A,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2025.</w:t>
      </w:r>
      <w:r w:rsidRPr="006A7DAE">
        <w:rPr>
          <w:rFonts w:ascii="Gill Sans MT" w:hAnsi="Gill Sans MT"/>
          <w:bCs/>
          <w:sz w:val="16"/>
          <w:szCs w:val="16"/>
        </w:rPr>
        <w:t> Improvement of cryopreserved epididymal ram sperm quality and fertility through curcumin nanoparticles. Theriogenology 243:117462.</w:t>
      </w:r>
    </w:p>
    <w:p w14:paraId="3908DAEA"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Ghareghomi</w:t>
      </w:r>
      <w:proofErr w:type="spellEnd"/>
      <w:r w:rsidRPr="006A7DAE">
        <w:rPr>
          <w:rStyle w:val="Strong"/>
          <w:rFonts w:ascii="Gill Sans MT" w:hAnsi="Gill Sans MT"/>
          <w:b w:val="0"/>
          <w:bCs/>
          <w:sz w:val="16"/>
          <w:szCs w:val="16"/>
        </w:rPr>
        <w:t xml:space="preserve"> S, </w:t>
      </w:r>
      <w:proofErr w:type="spellStart"/>
      <w:r w:rsidRPr="006A7DAE">
        <w:rPr>
          <w:rStyle w:val="Strong"/>
          <w:rFonts w:ascii="Gill Sans MT" w:hAnsi="Gill Sans MT"/>
          <w:b w:val="0"/>
          <w:bCs/>
          <w:sz w:val="16"/>
          <w:szCs w:val="16"/>
        </w:rPr>
        <w:t>Habibi-Rezaei</w:t>
      </w:r>
      <w:proofErr w:type="spellEnd"/>
      <w:r w:rsidRPr="006A7DAE">
        <w:rPr>
          <w:rStyle w:val="Strong"/>
          <w:rFonts w:ascii="Gill Sans MT" w:hAnsi="Gill Sans MT"/>
          <w:b w:val="0"/>
          <w:bCs/>
          <w:sz w:val="16"/>
          <w:szCs w:val="16"/>
        </w:rPr>
        <w:t xml:space="preserve"> M, Arese M,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NRF2 modulation in breast cancer. Biomedicines 10(10):2668.</w:t>
      </w:r>
    </w:p>
    <w:p w14:paraId="23C30CE4"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Ghorbani</w:t>
      </w:r>
      <w:r w:rsidRPr="006A7DAE">
        <w:rPr>
          <w:rStyle w:val="Strong"/>
          <w:rFonts w:ascii="Gill Sans MT" w:hAnsi="Gill Sans MT"/>
          <w:b w:val="0"/>
          <w:bCs/>
          <w:sz w:val="16"/>
          <w:szCs w:val="16"/>
        </w:rPr>
        <w:t xml:space="preserve"> F, </w:t>
      </w:r>
      <w:proofErr w:type="spellStart"/>
      <w:r w:rsidRPr="006A7DAE">
        <w:rPr>
          <w:rStyle w:val="Strong"/>
          <w:rFonts w:ascii="Gill Sans MT" w:hAnsi="Gill Sans MT"/>
          <w:b w:val="0"/>
          <w:bCs/>
          <w:sz w:val="16"/>
          <w:szCs w:val="16"/>
        </w:rPr>
        <w:t>Nasiri</w:t>
      </w:r>
      <w:proofErr w:type="spellEnd"/>
      <w:r w:rsidRPr="006A7DAE">
        <w:rPr>
          <w:rStyle w:val="Strong"/>
          <w:rFonts w:ascii="Gill Sans MT" w:hAnsi="Gill Sans MT"/>
          <w:b w:val="0"/>
          <w:bCs/>
          <w:sz w:val="16"/>
          <w:szCs w:val="16"/>
        </w:rPr>
        <w:t xml:space="preserve"> Z, </w:t>
      </w:r>
      <w:proofErr w:type="spellStart"/>
      <w:r w:rsidRPr="006A7DAE">
        <w:rPr>
          <w:rStyle w:val="Strong"/>
          <w:rFonts w:ascii="Gill Sans MT" w:hAnsi="Gill Sans MT"/>
          <w:b w:val="0"/>
          <w:bCs/>
          <w:sz w:val="16"/>
          <w:szCs w:val="16"/>
        </w:rPr>
        <w:t>Koohestanidehaghi</w:t>
      </w:r>
      <w:proofErr w:type="spellEnd"/>
      <w:r w:rsidRPr="006A7DAE">
        <w:rPr>
          <w:rStyle w:val="Strong"/>
          <w:rFonts w:ascii="Gill Sans MT" w:hAnsi="Gill Sans MT"/>
          <w:b w:val="0"/>
          <w:bCs/>
          <w:sz w:val="16"/>
          <w:szCs w:val="16"/>
        </w:rPr>
        <w:t xml:space="preserve"> Y,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2021.</w:t>
      </w:r>
      <w:r w:rsidRPr="006A7DAE">
        <w:rPr>
          <w:rFonts w:ascii="Gill Sans MT" w:hAnsi="Gill Sans MT"/>
          <w:bCs/>
          <w:sz w:val="16"/>
          <w:szCs w:val="16"/>
        </w:rPr>
        <w:t xml:space="preserve"> The antioxidant roles of L-carnitine and N-acetyl cysteine against oxidative stress on human sperm functional parameters during vitrification. </w:t>
      </w:r>
      <w:proofErr w:type="spellStart"/>
      <w:r w:rsidRPr="006A7DAE">
        <w:rPr>
          <w:rFonts w:ascii="Gill Sans MT" w:hAnsi="Gill Sans MT"/>
          <w:bCs/>
          <w:sz w:val="16"/>
          <w:szCs w:val="16"/>
        </w:rPr>
        <w:t>Clin</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Exp</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Med 48(4):316-21.</w:t>
      </w:r>
    </w:p>
    <w:p w14:paraId="0CD23E0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lang w:val="sv-SE"/>
        </w:rPr>
      </w:pPr>
      <w:r w:rsidRPr="00C62FFF">
        <w:rPr>
          <w:rStyle w:val="Strong"/>
          <w:rFonts w:ascii="Gill Sans MT" w:hAnsi="Gill Sans MT"/>
          <w:b w:val="0"/>
          <w:bCs/>
          <w:color w:val="2E74B5" w:themeColor="accent1" w:themeShade="BF"/>
          <w:sz w:val="16"/>
          <w:szCs w:val="16"/>
        </w:rPr>
        <w:t>Gomez</w:t>
      </w:r>
      <w:r w:rsidRPr="006A7DAE">
        <w:rPr>
          <w:rStyle w:val="Strong"/>
          <w:rFonts w:ascii="Gill Sans MT" w:hAnsi="Gill Sans MT"/>
          <w:b w:val="0"/>
          <w:bCs/>
          <w:sz w:val="16"/>
          <w:szCs w:val="16"/>
        </w:rPr>
        <w:t xml:space="preserve"> E, Irvine DS and Aitken RJ, 1998.</w:t>
      </w:r>
      <w:r w:rsidRPr="006A7DAE">
        <w:rPr>
          <w:rFonts w:ascii="Gill Sans MT" w:hAnsi="Gill Sans MT"/>
          <w:bCs/>
          <w:sz w:val="16"/>
          <w:szCs w:val="16"/>
        </w:rPr>
        <w:t xml:space="preserve"> Evaluation of a spectrophotometric assay for the measurement of malondialdehyde and 4-hydroxyalkenals in </w:t>
      </w:r>
      <w:r w:rsidRPr="00C62FFF">
        <w:rPr>
          <w:rFonts w:ascii="Gill Sans MT" w:hAnsi="Gill Sans MT"/>
          <w:bCs/>
          <w:color w:val="2E74B5" w:themeColor="accent1" w:themeShade="BF"/>
          <w:sz w:val="16"/>
          <w:szCs w:val="16"/>
        </w:rPr>
        <w:t>hu</w:t>
      </w:r>
      <w:r w:rsidRPr="006A7DAE">
        <w:rPr>
          <w:rFonts w:ascii="Gill Sans MT" w:hAnsi="Gill Sans MT"/>
          <w:bCs/>
          <w:sz w:val="16"/>
          <w:szCs w:val="16"/>
        </w:rPr>
        <w:t xml:space="preserve">man spermatozoa: relationships with semen quality and sperm function. </w:t>
      </w:r>
      <w:r w:rsidRPr="006A7DAE">
        <w:rPr>
          <w:rFonts w:ascii="Gill Sans MT" w:hAnsi="Gill Sans MT"/>
          <w:bCs/>
          <w:sz w:val="16"/>
          <w:szCs w:val="16"/>
          <w:lang w:val="sv-SE"/>
        </w:rPr>
        <w:t>Int J Androl 21(2):81-94.</w:t>
      </w:r>
    </w:p>
    <w:p w14:paraId="78A34D8A"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lang w:val="sv-SE"/>
        </w:rPr>
        <w:t>Han</w:t>
      </w:r>
      <w:r w:rsidRPr="006A7DAE">
        <w:rPr>
          <w:rStyle w:val="Strong"/>
          <w:rFonts w:ascii="Gill Sans MT" w:hAnsi="Gill Sans MT"/>
          <w:b w:val="0"/>
          <w:bCs/>
          <w:sz w:val="16"/>
          <w:szCs w:val="16"/>
          <w:lang w:val="sv-SE"/>
        </w:rPr>
        <w:t xml:space="preserve"> P, Wang X, Zhou T, </w:t>
      </w:r>
      <w:r w:rsidRPr="006A7DAE">
        <w:rPr>
          <w:rStyle w:val="Strong"/>
          <w:rFonts w:ascii="Gill Sans MT" w:hAnsi="Gill Sans MT"/>
          <w:b w:val="0"/>
          <w:bCs/>
          <w:i/>
          <w:iCs/>
          <w:sz w:val="16"/>
          <w:szCs w:val="16"/>
          <w:lang w:val="sv-SE"/>
        </w:rPr>
        <w:t>et al.</w:t>
      </w:r>
      <w:r w:rsidRPr="006A7DAE">
        <w:rPr>
          <w:rStyle w:val="Strong"/>
          <w:rFonts w:ascii="Gill Sans MT" w:hAnsi="Gill Sans MT"/>
          <w:b w:val="0"/>
          <w:bCs/>
          <w:sz w:val="16"/>
          <w:szCs w:val="16"/>
          <w:lang w:val="sv-SE"/>
        </w:rPr>
        <w:t>, 2022.</w:t>
      </w:r>
      <w:r w:rsidRPr="006A7DAE">
        <w:rPr>
          <w:rFonts w:ascii="Gill Sans MT" w:hAnsi="Gill Sans MT"/>
          <w:bCs/>
          <w:sz w:val="16"/>
          <w:szCs w:val="16"/>
          <w:lang w:val="sv-SE"/>
        </w:rPr>
        <w:t> </w:t>
      </w:r>
      <w:r w:rsidRPr="006A7DAE">
        <w:rPr>
          <w:rFonts w:ascii="Gill Sans MT" w:hAnsi="Gill Sans MT"/>
          <w:bCs/>
          <w:sz w:val="16"/>
          <w:szCs w:val="16"/>
        </w:rPr>
        <w:t>Inhibition of ferroptosis attenuates oligospermia in male NRF2 knockout mice. Free Radic Biol Med 193:421-29.</w:t>
      </w:r>
    </w:p>
    <w:p w14:paraId="2BE298A7"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Hafezi</w:t>
      </w:r>
      <w:proofErr w:type="spellEnd"/>
      <w:r w:rsidRPr="006A7DAE">
        <w:rPr>
          <w:rStyle w:val="Strong"/>
          <w:rFonts w:ascii="Gill Sans MT" w:hAnsi="Gill Sans MT"/>
          <w:b w:val="0"/>
          <w:bCs/>
          <w:sz w:val="16"/>
          <w:szCs w:val="16"/>
        </w:rPr>
        <w:t xml:space="preserve"> H, </w:t>
      </w:r>
      <w:proofErr w:type="spellStart"/>
      <w:r w:rsidRPr="006A7DAE">
        <w:rPr>
          <w:rStyle w:val="Strong"/>
          <w:rFonts w:ascii="Gill Sans MT" w:hAnsi="Gill Sans MT"/>
          <w:b w:val="0"/>
          <w:bCs/>
          <w:sz w:val="16"/>
          <w:szCs w:val="16"/>
        </w:rPr>
        <w:t>Vahdati</w:t>
      </w:r>
      <w:proofErr w:type="spellEnd"/>
      <w:r w:rsidRPr="006A7DAE">
        <w:rPr>
          <w:rStyle w:val="Strong"/>
          <w:rFonts w:ascii="Gill Sans MT" w:hAnsi="Gill Sans MT"/>
          <w:b w:val="0"/>
          <w:bCs/>
          <w:sz w:val="16"/>
          <w:szCs w:val="16"/>
        </w:rPr>
        <w:t xml:space="preserve"> A, </w:t>
      </w:r>
      <w:proofErr w:type="spellStart"/>
      <w:r w:rsidRPr="006A7DAE">
        <w:rPr>
          <w:rStyle w:val="Strong"/>
          <w:rFonts w:ascii="Gill Sans MT" w:hAnsi="Gill Sans MT"/>
          <w:b w:val="0"/>
          <w:bCs/>
          <w:sz w:val="16"/>
          <w:szCs w:val="16"/>
        </w:rPr>
        <w:t>Forouzanfar</w:t>
      </w:r>
      <w:proofErr w:type="spellEnd"/>
      <w:r w:rsidRPr="006A7DAE">
        <w:rPr>
          <w:rStyle w:val="Strong"/>
          <w:rFonts w:ascii="Gill Sans MT" w:hAnsi="Gill Sans MT"/>
          <w:b w:val="0"/>
          <w:bCs/>
          <w:sz w:val="16"/>
          <w:szCs w:val="16"/>
        </w:rPr>
        <w:t xml:space="preserve"> M,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Ameliorate effects of resveratrol and L-carnitine on the testicular tissue and sex hormones level in busulfan induced azoospermia rats. Theriogenology 191:47-53.</w:t>
      </w:r>
    </w:p>
    <w:p w14:paraId="2F06F957"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lang w:val="sv-SE"/>
        </w:rPr>
      </w:pPr>
      <w:r w:rsidRPr="00C62FFF">
        <w:rPr>
          <w:rStyle w:val="Strong"/>
          <w:rFonts w:ascii="Gill Sans MT" w:hAnsi="Gill Sans MT"/>
          <w:b w:val="0"/>
          <w:bCs/>
          <w:color w:val="2E74B5" w:themeColor="accent1" w:themeShade="BF"/>
          <w:sz w:val="16"/>
          <w:szCs w:val="16"/>
        </w:rPr>
        <w:t>Hosen</w:t>
      </w:r>
      <w:r w:rsidRPr="006A7DAE">
        <w:rPr>
          <w:rStyle w:val="Strong"/>
          <w:rFonts w:ascii="Gill Sans MT" w:hAnsi="Gill Sans MT"/>
          <w:b w:val="0"/>
          <w:bCs/>
          <w:sz w:val="16"/>
          <w:szCs w:val="16"/>
        </w:rPr>
        <w:t xml:space="preserve"> MB, Islam MR, Begum F,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2015.</w:t>
      </w:r>
      <w:r w:rsidRPr="006A7DAE">
        <w:rPr>
          <w:rFonts w:ascii="Gill Sans MT" w:hAnsi="Gill Sans MT"/>
          <w:bCs/>
          <w:sz w:val="16"/>
          <w:szCs w:val="16"/>
        </w:rPr>
        <w:t xml:space="preserve"> Oxidative stress induced sperm DNA damage, a possible reason for male infertility. </w:t>
      </w:r>
      <w:r w:rsidRPr="006A7DAE">
        <w:rPr>
          <w:rFonts w:ascii="Gill Sans MT" w:hAnsi="Gill Sans MT"/>
          <w:bCs/>
          <w:sz w:val="16"/>
          <w:szCs w:val="16"/>
          <w:lang w:val="sv-SE"/>
        </w:rPr>
        <w:t>Iran J Reprod Med 13(9):525-32.</w:t>
      </w:r>
    </w:p>
    <w:p w14:paraId="39983AB3" w14:textId="77777777" w:rsidR="006A7DAE" w:rsidRPr="006A7DAE" w:rsidRDefault="006A7DAE" w:rsidP="006A7DAE">
      <w:pPr>
        <w:pStyle w:val="NormalWeb"/>
        <w:spacing w:before="0" w:beforeAutospacing="0" w:after="0" w:afterAutospacing="0"/>
        <w:ind w:left="360" w:hanging="360"/>
        <w:jc w:val="both"/>
        <w:rPr>
          <w:rStyle w:val="Strong"/>
          <w:rFonts w:ascii="Gill Sans MT" w:hAnsi="Gill Sans MT"/>
          <w:b w:val="0"/>
          <w:bCs/>
          <w:sz w:val="16"/>
          <w:szCs w:val="16"/>
        </w:rPr>
      </w:pPr>
      <w:r w:rsidRPr="00C62FFF">
        <w:rPr>
          <w:rStyle w:val="Strong"/>
          <w:rFonts w:ascii="Gill Sans MT" w:hAnsi="Gill Sans MT"/>
          <w:b w:val="0"/>
          <w:bCs/>
          <w:color w:val="2E74B5" w:themeColor="accent1" w:themeShade="BF"/>
          <w:sz w:val="16"/>
          <w:szCs w:val="16"/>
          <w:lang w:val="sv-SE"/>
        </w:rPr>
        <w:t>Hu</w:t>
      </w:r>
      <w:r w:rsidRPr="006A7DAE">
        <w:rPr>
          <w:rStyle w:val="Strong"/>
          <w:rFonts w:ascii="Gill Sans MT" w:hAnsi="Gill Sans MT"/>
          <w:b w:val="0"/>
          <w:bCs/>
          <w:sz w:val="16"/>
          <w:szCs w:val="16"/>
          <w:lang w:val="sv-SE"/>
        </w:rPr>
        <w:t xml:space="preserve"> Y, Hu J, Pang W, </w:t>
      </w:r>
      <w:r w:rsidRPr="006A7DAE">
        <w:rPr>
          <w:rStyle w:val="Strong"/>
          <w:rFonts w:ascii="Gill Sans MT" w:hAnsi="Gill Sans MT"/>
          <w:b w:val="0"/>
          <w:bCs/>
          <w:i/>
          <w:iCs/>
          <w:sz w:val="16"/>
          <w:szCs w:val="16"/>
          <w:lang w:val="sv-SE"/>
        </w:rPr>
        <w:t>et al.</w:t>
      </w:r>
      <w:r w:rsidRPr="006A7DAE">
        <w:rPr>
          <w:rStyle w:val="Strong"/>
          <w:rFonts w:ascii="Gill Sans MT" w:hAnsi="Gill Sans MT"/>
          <w:b w:val="0"/>
          <w:bCs/>
          <w:sz w:val="16"/>
          <w:szCs w:val="16"/>
          <w:lang w:val="sv-SE"/>
        </w:rPr>
        <w:t xml:space="preserve">, 2022. </w:t>
      </w:r>
      <w:r w:rsidRPr="006A7DAE">
        <w:rPr>
          <w:rFonts w:ascii="Gill Sans MT" w:hAnsi="Gill Sans MT"/>
          <w:bCs/>
          <w:sz w:val="16"/>
          <w:szCs w:val="16"/>
        </w:rPr>
        <w:t xml:space="preserve">Astaxanthin improves preserved semen quality at 17°C by enhancing sperm antioxidant and motility properties.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Domest</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Anim</w:t>
      </w:r>
      <w:proofErr w:type="spellEnd"/>
      <w:r w:rsidRPr="006A7DAE">
        <w:rPr>
          <w:rFonts w:ascii="Gill Sans MT" w:hAnsi="Gill Sans MT"/>
          <w:bCs/>
          <w:sz w:val="16"/>
          <w:szCs w:val="16"/>
        </w:rPr>
        <w:t xml:space="preserve"> 57(10):1187-97.</w:t>
      </w:r>
      <w:r w:rsidRPr="006A7DAE">
        <w:rPr>
          <w:rStyle w:val="Strong"/>
          <w:rFonts w:ascii="Gill Sans MT" w:hAnsi="Gill Sans MT"/>
          <w:b w:val="0"/>
          <w:bCs/>
          <w:sz w:val="16"/>
          <w:szCs w:val="16"/>
        </w:rPr>
        <w:t xml:space="preserve"> </w:t>
      </w:r>
    </w:p>
    <w:p w14:paraId="2010B26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Jeulin</w:t>
      </w:r>
      <w:proofErr w:type="spellEnd"/>
      <w:r w:rsidRPr="006A7DAE">
        <w:rPr>
          <w:rStyle w:val="Strong"/>
          <w:rFonts w:ascii="Gill Sans MT" w:hAnsi="Gill Sans MT"/>
          <w:b w:val="0"/>
          <w:bCs/>
          <w:sz w:val="16"/>
          <w:szCs w:val="16"/>
        </w:rPr>
        <w:t xml:space="preserve"> C and Lewin LM, 1996.</w:t>
      </w:r>
      <w:r w:rsidRPr="006A7DAE">
        <w:rPr>
          <w:rFonts w:ascii="Gill Sans MT" w:hAnsi="Gill Sans MT"/>
          <w:bCs/>
          <w:sz w:val="16"/>
          <w:szCs w:val="16"/>
        </w:rPr>
        <w:t xml:space="preserve"> Role of free L-carnitine and acetyl-L-carnitine in post-gonadal maturation of mammalian spermatozoa. Hum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Update 2(2):87-102.</w:t>
      </w:r>
    </w:p>
    <w:p w14:paraId="3B99F1CA"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Fonts w:ascii="Gill Sans MT" w:hAnsi="Gill Sans MT"/>
          <w:bCs/>
          <w:color w:val="2E74B5" w:themeColor="accent1" w:themeShade="BF"/>
          <w:sz w:val="16"/>
          <w:szCs w:val="16"/>
        </w:rPr>
        <w:t>Jimoh</w:t>
      </w:r>
      <w:r w:rsidRPr="006A7DAE">
        <w:rPr>
          <w:rFonts w:ascii="Gill Sans MT" w:hAnsi="Gill Sans MT"/>
          <w:bCs/>
          <w:sz w:val="16"/>
          <w:szCs w:val="16"/>
        </w:rPr>
        <w:t xml:space="preserve"> OA, Temidayo OD, Ololade HO, </w:t>
      </w:r>
      <w:r w:rsidRPr="006A7DAE">
        <w:rPr>
          <w:rFonts w:ascii="Gill Sans MT" w:hAnsi="Gill Sans MT"/>
          <w:bCs/>
          <w:i/>
          <w:iCs/>
          <w:sz w:val="16"/>
          <w:szCs w:val="16"/>
        </w:rPr>
        <w:t>et al.</w:t>
      </w:r>
      <w:r w:rsidRPr="006A7DAE">
        <w:rPr>
          <w:rFonts w:ascii="Gill Sans MT" w:hAnsi="Gill Sans MT"/>
          <w:bCs/>
          <w:sz w:val="16"/>
          <w:szCs w:val="16"/>
        </w:rPr>
        <w:t xml:space="preserve">, 2023. Effect of phytogenic supplements on the reproductive physiology and metabolic hormones of rabbits exposed to heat stress conditions. J </w:t>
      </w:r>
      <w:proofErr w:type="spellStart"/>
      <w:r w:rsidRPr="006A7DAE">
        <w:rPr>
          <w:rFonts w:ascii="Gill Sans MT" w:hAnsi="Gill Sans MT"/>
          <w:bCs/>
          <w:sz w:val="16"/>
          <w:szCs w:val="16"/>
        </w:rPr>
        <w:t>Therm</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Biol</w:t>
      </w:r>
      <w:proofErr w:type="spellEnd"/>
      <w:r w:rsidRPr="006A7DAE">
        <w:rPr>
          <w:rFonts w:ascii="Gill Sans MT" w:hAnsi="Gill Sans MT"/>
          <w:bCs/>
          <w:sz w:val="16"/>
          <w:szCs w:val="16"/>
        </w:rPr>
        <w:t xml:space="preserve"> 112: 103438. </w:t>
      </w:r>
      <w:proofErr w:type="spellStart"/>
      <w:r w:rsidRPr="006A7DAE">
        <w:rPr>
          <w:rFonts w:ascii="Gill Sans MT" w:hAnsi="Gill Sans MT"/>
          <w:bCs/>
          <w:sz w:val="16"/>
          <w:szCs w:val="16"/>
        </w:rPr>
        <w:t>doi</w:t>
      </w:r>
      <w:proofErr w:type="spellEnd"/>
      <w:r w:rsidRPr="006A7DAE">
        <w:rPr>
          <w:rFonts w:ascii="Gill Sans MT" w:hAnsi="Gill Sans MT"/>
          <w:bCs/>
          <w:sz w:val="16"/>
          <w:szCs w:val="16"/>
        </w:rPr>
        <w:t>: 10.1016/j.jtherbio.2022.103438.</w:t>
      </w:r>
    </w:p>
    <w:p w14:paraId="1BDDA555"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Karlic</w:t>
      </w:r>
      <w:proofErr w:type="spellEnd"/>
      <w:r w:rsidRPr="006A7DAE">
        <w:rPr>
          <w:rStyle w:val="Strong"/>
          <w:rFonts w:ascii="Gill Sans MT" w:hAnsi="Gill Sans MT"/>
          <w:b w:val="0"/>
          <w:bCs/>
          <w:sz w:val="16"/>
          <w:szCs w:val="16"/>
        </w:rPr>
        <w:t xml:space="preserve"> H and </w:t>
      </w:r>
      <w:proofErr w:type="spellStart"/>
      <w:r w:rsidRPr="006A7DAE">
        <w:rPr>
          <w:rStyle w:val="Strong"/>
          <w:rFonts w:ascii="Gill Sans MT" w:hAnsi="Gill Sans MT"/>
          <w:b w:val="0"/>
          <w:bCs/>
          <w:sz w:val="16"/>
          <w:szCs w:val="16"/>
        </w:rPr>
        <w:t>Lohninger</w:t>
      </w:r>
      <w:proofErr w:type="spellEnd"/>
      <w:r w:rsidRPr="006A7DAE">
        <w:rPr>
          <w:rStyle w:val="Strong"/>
          <w:rFonts w:ascii="Gill Sans MT" w:hAnsi="Gill Sans MT"/>
          <w:b w:val="0"/>
          <w:bCs/>
          <w:sz w:val="16"/>
          <w:szCs w:val="16"/>
        </w:rPr>
        <w:t xml:space="preserve"> A, 2004.</w:t>
      </w:r>
      <w:r w:rsidRPr="006A7DAE">
        <w:rPr>
          <w:rFonts w:ascii="Gill Sans MT" w:hAnsi="Gill Sans MT"/>
          <w:bCs/>
          <w:sz w:val="16"/>
          <w:szCs w:val="16"/>
        </w:rPr>
        <w:t> Supplementation of L-carnitine in athletes: does it make sense? Nutrition 20(7-8):709-15.</w:t>
      </w:r>
    </w:p>
    <w:p w14:paraId="211C6447"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Kensler</w:t>
      </w:r>
      <w:r w:rsidRPr="006A7DAE">
        <w:rPr>
          <w:rStyle w:val="Strong"/>
          <w:rFonts w:ascii="Gill Sans MT" w:hAnsi="Gill Sans MT"/>
          <w:b w:val="0"/>
          <w:bCs/>
          <w:sz w:val="16"/>
          <w:szCs w:val="16"/>
        </w:rPr>
        <w:t xml:space="preserve"> TW, </w:t>
      </w:r>
      <w:r w:rsidRPr="005F3854">
        <w:rPr>
          <w:rStyle w:val="Strong"/>
          <w:rFonts w:ascii="Gill Sans MT" w:hAnsi="Gill Sans MT"/>
          <w:b w:val="0"/>
          <w:bCs/>
          <w:color w:val="2E74B5" w:themeColor="accent1" w:themeShade="BF"/>
          <w:sz w:val="16"/>
          <w:szCs w:val="16"/>
        </w:rPr>
        <w:t>Wakabayashi</w:t>
      </w:r>
      <w:r w:rsidRPr="006A7DAE">
        <w:rPr>
          <w:rStyle w:val="Strong"/>
          <w:rFonts w:ascii="Gill Sans MT" w:hAnsi="Gill Sans MT"/>
          <w:b w:val="0"/>
          <w:bCs/>
          <w:sz w:val="16"/>
          <w:szCs w:val="16"/>
        </w:rPr>
        <w:t xml:space="preserve"> N and Biswal S, 2007.</w:t>
      </w:r>
      <w:r w:rsidRPr="006A7DAE">
        <w:rPr>
          <w:rFonts w:ascii="Gill Sans MT" w:hAnsi="Gill Sans MT"/>
          <w:bCs/>
          <w:sz w:val="16"/>
          <w:szCs w:val="16"/>
        </w:rPr>
        <w:t xml:space="preserve"> Cell survival responses to environmental stresses via the Keap1-NRF2-ARE pathway. </w:t>
      </w:r>
      <w:proofErr w:type="spellStart"/>
      <w:r w:rsidRPr="006A7DAE">
        <w:rPr>
          <w:rFonts w:ascii="Gill Sans MT" w:hAnsi="Gill Sans MT"/>
          <w:bCs/>
          <w:sz w:val="16"/>
          <w:szCs w:val="16"/>
        </w:rPr>
        <w:t>Annu</w:t>
      </w:r>
      <w:proofErr w:type="spellEnd"/>
      <w:r w:rsidRPr="006A7DAE">
        <w:rPr>
          <w:rFonts w:ascii="Gill Sans MT" w:hAnsi="Gill Sans MT"/>
          <w:bCs/>
          <w:sz w:val="16"/>
          <w:szCs w:val="16"/>
        </w:rPr>
        <w:t xml:space="preserve"> Rev </w:t>
      </w:r>
      <w:proofErr w:type="spellStart"/>
      <w:r w:rsidRPr="006A7DAE">
        <w:rPr>
          <w:rFonts w:ascii="Gill Sans MT" w:hAnsi="Gill Sans MT"/>
          <w:bCs/>
          <w:sz w:val="16"/>
          <w:szCs w:val="16"/>
        </w:rPr>
        <w:t>Pharmacol</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Toxicol</w:t>
      </w:r>
      <w:proofErr w:type="spellEnd"/>
      <w:r w:rsidRPr="006A7DAE">
        <w:rPr>
          <w:rFonts w:ascii="Gill Sans MT" w:hAnsi="Gill Sans MT"/>
          <w:bCs/>
          <w:sz w:val="16"/>
          <w:szCs w:val="16"/>
        </w:rPr>
        <w:t xml:space="preserve"> 47:89-116.</w:t>
      </w:r>
    </w:p>
    <w:p w14:paraId="593FCCAF"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Lahimer</w:t>
      </w:r>
      <w:proofErr w:type="spellEnd"/>
      <w:r w:rsidRPr="006A7DAE">
        <w:rPr>
          <w:rStyle w:val="Strong"/>
          <w:rFonts w:ascii="Gill Sans MT" w:hAnsi="Gill Sans MT"/>
          <w:b w:val="0"/>
          <w:bCs/>
          <w:sz w:val="16"/>
          <w:szCs w:val="16"/>
        </w:rPr>
        <w:t xml:space="preserve"> M, </w:t>
      </w:r>
      <w:proofErr w:type="spellStart"/>
      <w:r w:rsidRPr="006A7DAE">
        <w:rPr>
          <w:rStyle w:val="Strong"/>
          <w:rFonts w:ascii="Gill Sans MT" w:hAnsi="Gill Sans MT"/>
          <w:b w:val="0"/>
          <w:bCs/>
          <w:sz w:val="16"/>
          <w:szCs w:val="16"/>
        </w:rPr>
        <w:t>Capelle</w:t>
      </w:r>
      <w:proofErr w:type="spellEnd"/>
      <w:r w:rsidRPr="006A7DAE">
        <w:rPr>
          <w:rStyle w:val="Strong"/>
          <w:rFonts w:ascii="Gill Sans MT" w:hAnsi="Gill Sans MT"/>
          <w:b w:val="0"/>
          <w:bCs/>
          <w:sz w:val="16"/>
          <w:szCs w:val="16"/>
        </w:rPr>
        <w:t xml:space="preserve"> S, </w:t>
      </w:r>
      <w:proofErr w:type="spellStart"/>
      <w:r w:rsidRPr="006A7DAE">
        <w:rPr>
          <w:rStyle w:val="Strong"/>
          <w:rFonts w:ascii="Gill Sans MT" w:hAnsi="Gill Sans MT"/>
          <w:b w:val="0"/>
          <w:bCs/>
          <w:sz w:val="16"/>
          <w:szCs w:val="16"/>
        </w:rPr>
        <w:t>Lefranc</w:t>
      </w:r>
      <w:proofErr w:type="spellEnd"/>
      <w:r w:rsidRPr="006A7DAE">
        <w:rPr>
          <w:rStyle w:val="Strong"/>
          <w:rFonts w:ascii="Gill Sans MT" w:hAnsi="Gill Sans MT"/>
          <w:b w:val="0"/>
          <w:bCs/>
          <w:sz w:val="16"/>
          <w:szCs w:val="16"/>
        </w:rPr>
        <w:t xml:space="preserve"> E,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2025.</w:t>
      </w:r>
      <w:r w:rsidRPr="006A7DAE">
        <w:rPr>
          <w:rFonts w:ascii="Gill Sans MT" w:hAnsi="Gill Sans MT"/>
          <w:bCs/>
          <w:sz w:val="16"/>
          <w:szCs w:val="16"/>
        </w:rPr>
        <w:t> Micronutrient-antioxidant therapy and male fertility improvement during ART Cycles. Nutrients 17(2):324.</w:t>
      </w:r>
    </w:p>
    <w:p w14:paraId="7F9C4E0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 xml:space="preserve">Li </w:t>
      </w:r>
      <w:r w:rsidRPr="006A7DAE">
        <w:rPr>
          <w:rStyle w:val="Strong"/>
          <w:rFonts w:ascii="Gill Sans MT" w:hAnsi="Gill Sans MT"/>
          <w:b w:val="0"/>
          <w:bCs/>
          <w:sz w:val="16"/>
          <w:szCs w:val="16"/>
        </w:rPr>
        <w:t xml:space="preserve">D, Yang SJ, Xing YW,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2021.</w:t>
      </w:r>
      <w:r w:rsidRPr="006A7DAE">
        <w:rPr>
          <w:rFonts w:ascii="Gill Sans MT" w:hAnsi="Gill Sans MT"/>
          <w:bCs/>
          <w:sz w:val="16"/>
          <w:szCs w:val="16"/>
        </w:rPr>
        <w:t> Novel insights and current evidence for mechanisms of atherosclerosis: mitochondrial dynamics as a potential therapeutic target. Front Cell Dev Biol 9:673839.</w:t>
      </w:r>
    </w:p>
    <w:p w14:paraId="2A6B7249"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lastRenderedPageBreak/>
        <w:t xml:space="preserve">Li </w:t>
      </w:r>
      <w:r w:rsidRPr="006A7DAE">
        <w:rPr>
          <w:rStyle w:val="Strong"/>
          <w:rFonts w:ascii="Gill Sans MT" w:hAnsi="Gill Sans MT"/>
          <w:b w:val="0"/>
          <w:bCs/>
          <w:sz w:val="16"/>
          <w:szCs w:val="16"/>
        </w:rPr>
        <w:t xml:space="preserve">JW, Li JC, Wang SB,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xml:space="preserve">, 2024. </w:t>
      </w:r>
      <w:r w:rsidRPr="006A7DAE">
        <w:rPr>
          <w:rFonts w:ascii="Gill Sans MT" w:hAnsi="Gill Sans MT"/>
          <w:bCs/>
          <w:sz w:val="16"/>
          <w:szCs w:val="16"/>
        </w:rPr>
        <w:t>Post-thaw storage temperature influenced boar sperm quality and lifespan through apoptosis and lipid peroxidation. Animals 14:87.</w:t>
      </w:r>
    </w:p>
    <w:p w14:paraId="770C3674"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 xml:space="preserve">Li </w:t>
      </w:r>
      <w:r w:rsidRPr="006A7DAE">
        <w:rPr>
          <w:rStyle w:val="Strong"/>
          <w:rFonts w:ascii="Gill Sans MT" w:hAnsi="Gill Sans MT"/>
          <w:b w:val="0"/>
          <w:bCs/>
          <w:sz w:val="16"/>
          <w:szCs w:val="16"/>
        </w:rPr>
        <w:t xml:space="preserve">RN, Wu XD, Zhu ZD,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Polyamines protect boar sperm from oxidative stress in vitro. J Anim Sci 100(4): skac069.</w:t>
      </w:r>
    </w:p>
    <w:p w14:paraId="2A91FB79"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lang w:val="pt-BR"/>
        </w:rPr>
      </w:pPr>
      <w:r w:rsidRPr="00C62FFF">
        <w:rPr>
          <w:rStyle w:val="Strong"/>
          <w:rFonts w:ascii="Gill Sans MT" w:hAnsi="Gill Sans MT"/>
          <w:b w:val="0"/>
          <w:bCs/>
          <w:color w:val="2E74B5" w:themeColor="accent1" w:themeShade="BF"/>
          <w:sz w:val="16"/>
          <w:szCs w:val="16"/>
        </w:rPr>
        <w:t>Lin</w:t>
      </w:r>
      <w:r w:rsidRPr="006A7DAE">
        <w:rPr>
          <w:rStyle w:val="Strong"/>
          <w:rFonts w:ascii="Gill Sans MT" w:hAnsi="Gill Sans MT"/>
          <w:b w:val="0"/>
          <w:bCs/>
          <w:sz w:val="16"/>
          <w:szCs w:val="16"/>
        </w:rPr>
        <w:t xml:space="preserve"> L, Tao L, </w:t>
      </w:r>
      <w:proofErr w:type="spellStart"/>
      <w:r w:rsidRPr="006A7DAE">
        <w:rPr>
          <w:rStyle w:val="Strong"/>
          <w:rFonts w:ascii="Gill Sans MT" w:hAnsi="Gill Sans MT"/>
          <w:b w:val="0"/>
          <w:bCs/>
          <w:sz w:val="16"/>
          <w:szCs w:val="16"/>
        </w:rPr>
        <w:t>Famingzi</w:t>
      </w:r>
      <w:proofErr w:type="spellEnd"/>
      <w:r w:rsidRPr="006A7DAE">
        <w:rPr>
          <w:rStyle w:val="Strong"/>
          <w:rFonts w:ascii="Gill Sans MT" w:hAnsi="Gill Sans MT"/>
          <w:b w:val="0"/>
          <w:bCs/>
          <w:sz w:val="16"/>
          <w:szCs w:val="16"/>
        </w:rPr>
        <w:t xml:space="preserve"> L,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2020.</w:t>
      </w:r>
      <w:r w:rsidRPr="006A7DAE">
        <w:rPr>
          <w:rFonts w:ascii="Gill Sans MT" w:hAnsi="Gill Sans MT"/>
          <w:bCs/>
          <w:sz w:val="16"/>
          <w:szCs w:val="16"/>
        </w:rPr>
        <w:t xml:space="preserve"> The influence of L-carnitine on the expression of miRNAs in </w:t>
      </w:r>
      <w:proofErr w:type="spellStart"/>
      <w:r w:rsidRPr="006A7DAE">
        <w:rPr>
          <w:rFonts w:ascii="Gill Sans MT" w:hAnsi="Gill Sans MT"/>
          <w:bCs/>
          <w:sz w:val="16"/>
          <w:szCs w:val="16"/>
        </w:rPr>
        <w:t>asthenospermia</w:t>
      </w:r>
      <w:proofErr w:type="spellEnd"/>
      <w:r w:rsidRPr="006A7DAE">
        <w:rPr>
          <w:rFonts w:ascii="Gill Sans MT" w:hAnsi="Gill Sans MT"/>
          <w:bCs/>
          <w:sz w:val="16"/>
          <w:szCs w:val="16"/>
        </w:rPr>
        <w:t xml:space="preserve"> spermatozoa and the network regulation of the associated molecules. </w:t>
      </w:r>
      <w:r w:rsidRPr="006A7DAE">
        <w:rPr>
          <w:rFonts w:ascii="Gill Sans MT" w:hAnsi="Gill Sans MT"/>
          <w:bCs/>
          <w:sz w:val="16"/>
          <w:szCs w:val="16"/>
          <w:lang w:val="pt-BR"/>
        </w:rPr>
        <w:t>Andrologia 52(1): e13478.</w:t>
      </w:r>
    </w:p>
    <w:p w14:paraId="3D692A32"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lang w:val="pt-BR"/>
        </w:rPr>
      </w:pPr>
      <w:r w:rsidRPr="00C62FFF">
        <w:rPr>
          <w:rStyle w:val="Strong"/>
          <w:rFonts w:ascii="Gill Sans MT" w:hAnsi="Gill Sans MT"/>
          <w:b w:val="0"/>
          <w:bCs/>
          <w:color w:val="2E74B5" w:themeColor="accent1" w:themeShade="BF"/>
          <w:sz w:val="16"/>
          <w:szCs w:val="16"/>
          <w:lang w:val="pt-BR"/>
        </w:rPr>
        <w:t>Liu</w:t>
      </w:r>
      <w:r w:rsidRPr="006A7DAE">
        <w:rPr>
          <w:rStyle w:val="Strong"/>
          <w:rFonts w:ascii="Gill Sans MT" w:hAnsi="Gill Sans MT"/>
          <w:b w:val="0"/>
          <w:bCs/>
          <w:sz w:val="16"/>
          <w:szCs w:val="16"/>
          <w:lang w:val="pt-BR"/>
        </w:rPr>
        <w:t xml:space="preserve"> C, Cao X, Yang FY, </w:t>
      </w:r>
      <w:r w:rsidRPr="006A7DAE">
        <w:rPr>
          <w:rStyle w:val="Strong"/>
          <w:rFonts w:ascii="Gill Sans MT" w:hAnsi="Gill Sans MT"/>
          <w:b w:val="0"/>
          <w:bCs/>
          <w:i/>
          <w:iCs/>
          <w:sz w:val="16"/>
          <w:szCs w:val="16"/>
          <w:lang w:val="pt-BR"/>
        </w:rPr>
        <w:t>et al.</w:t>
      </w:r>
      <w:r w:rsidRPr="006A7DAE">
        <w:rPr>
          <w:rStyle w:val="Strong"/>
          <w:rFonts w:ascii="Gill Sans MT" w:hAnsi="Gill Sans MT"/>
          <w:b w:val="0"/>
          <w:bCs/>
          <w:sz w:val="16"/>
          <w:szCs w:val="16"/>
          <w:lang w:val="pt-BR"/>
        </w:rPr>
        <w:t xml:space="preserve">, 2014. </w:t>
      </w:r>
      <w:r w:rsidRPr="006A7DAE">
        <w:rPr>
          <w:rStyle w:val="Strong"/>
          <w:rFonts w:ascii="Gill Sans MT" w:hAnsi="Gill Sans MT"/>
          <w:b w:val="0"/>
          <w:bCs/>
          <w:sz w:val="16"/>
          <w:szCs w:val="16"/>
        </w:rPr>
        <w:t xml:space="preserve">Effects of angiotensin-(1-7) on oxidative stress and adiponectin in adipocytes. </w:t>
      </w:r>
      <w:r w:rsidRPr="006A7DAE">
        <w:rPr>
          <w:rStyle w:val="Strong"/>
          <w:rFonts w:ascii="Gill Sans MT" w:hAnsi="Gill Sans MT"/>
          <w:b w:val="0"/>
          <w:bCs/>
          <w:sz w:val="16"/>
          <w:szCs w:val="16"/>
          <w:lang w:val="pt-BR"/>
        </w:rPr>
        <w:t>J Capital Med Univ 35(1):45-50.</w:t>
      </w:r>
    </w:p>
    <w:p w14:paraId="0684A6D2"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lang w:val="pt-BR"/>
        </w:rPr>
        <w:t>Makris</w:t>
      </w:r>
      <w:r w:rsidRPr="006A7DAE">
        <w:rPr>
          <w:rStyle w:val="Strong"/>
          <w:rFonts w:ascii="Gill Sans MT" w:hAnsi="Gill Sans MT"/>
          <w:b w:val="0"/>
          <w:bCs/>
          <w:sz w:val="16"/>
          <w:szCs w:val="16"/>
          <w:lang w:val="pt-BR"/>
        </w:rPr>
        <w:t xml:space="preserve"> A, Alevra AI, Exadactylos A, </w:t>
      </w:r>
      <w:r w:rsidRPr="006A7DAE">
        <w:rPr>
          <w:rStyle w:val="Strong"/>
          <w:rFonts w:ascii="Gill Sans MT" w:hAnsi="Gill Sans MT"/>
          <w:b w:val="0"/>
          <w:bCs/>
          <w:i/>
          <w:iCs/>
          <w:sz w:val="16"/>
          <w:szCs w:val="16"/>
          <w:lang w:val="pt-BR"/>
        </w:rPr>
        <w:t>et al.</w:t>
      </w:r>
      <w:r w:rsidRPr="006A7DAE">
        <w:rPr>
          <w:rStyle w:val="Strong"/>
          <w:rFonts w:ascii="Gill Sans MT" w:hAnsi="Gill Sans MT"/>
          <w:b w:val="0"/>
          <w:bCs/>
          <w:sz w:val="16"/>
          <w:szCs w:val="16"/>
          <w:lang w:val="pt-BR"/>
        </w:rPr>
        <w:t>, 2023.</w:t>
      </w:r>
      <w:r w:rsidRPr="006A7DAE">
        <w:rPr>
          <w:rFonts w:ascii="Gill Sans MT" w:hAnsi="Gill Sans MT"/>
          <w:bCs/>
          <w:sz w:val="16"/>
          <w:szCs w:val="16"/>
          <w:lang w:val="pt-BR"/>
        </w:rPr>
        <w:t> </w:t>
      </w:r>
      <w:r w:rsidRPr="006A7DAE">
        <w:rPr>
          <w:rFonts w:ascii="Gill Sans MT" w:hAnsi="Gill Sans MT"/>
          <w:bCs/>
          <w:sz w:val="16"/>
          <w:szCs w:val="16"/>
        </w:rPr>
        <w:t>The role of melatonin to ameliorate oxidative stress in sperm cells. Int J Mol Sci 24(20):15056.</w:t>
      </w:r>
    </w:p>
    <w:p w14:paraId="2A0073EC" w14:textId="77777777" w:rsidR="006A7DAE" w:rsidRPr="006A7DAE" w:rsidRDefault="006A7DAE" w:rsidP="006A7DAE">
      <w:pPr>
        <w:pStyle w:val="NormalWeb"/>
        <w:spacing w:before="0" w:beforeAutospacing="0" w:after="0" w:afterAutospacing="0"/>
        <w:ind w:left="360" w:hanging="360"/>
        <w:jc w:val="both"/>
        <w:rPr>
          <w:rStyle w:val="Strong"/>
          <w:rFonts w:ascii="Gill Sans MT" w:hAnsi="Gill Sans MT"/>
          <w:b w:val="0"/>
          <w:bCs/>
          <w:sz w:val="16"/>
          <w:szCs w:val="16"/>
        </w:rPr>
      </w:pPr>
      <w:r w:rsidRPr="00C62FFF">
        <w:rPr>
          <w:rFonts w:ascii="Gill Sans MT" w:hAnsi="Gill Sans MT"/>
          <w:bCs/>
          <w:color w:val="2E74B5" w:themeColor="accent1" w:themeShade="BF"/>
          <w:sz w:val="16"/>
          <w:szCs w:val="16"/>
        </w:rPr>
        <w:t>Mane</w:t>
      </w:r>
      <w:r w:rsidRPr="006A7DAE">
        <w:rPr>
          <w:rFonts w:ascii="Gill Sans MT" w:hAnsi="Gill Sans MT"/>
          <w:bCs/>
          <w:sz w:val="16"/>
          <w:szCs w:val="16"/>
        </w:rPr>
        <w:t xml:space="preserve"> NS, Puri DB, </w:t>
      </w:r>
      <w:r w:rsidRPr="00C62FFF">
        <w:rPr>
          <w:rFonts w:ascii="Gill Sans MT" w:hAnsi="Gill Sans MT"/>
          <w:bCs/>
          <w:color w:val="2E74B5" w:themeColor="accent1" w:themeShade="BF"/>
          <w:sz w:val="16"/>
          <w:szCs w:val="16"/>
        </w:rPr>
        <w:t>Mane</w:t>
      </w:r>
      <w:r w:rsidRPr="006A7DAE">
        <w:rPr>
          <w:rFonts w:ascii="Gill Sans MT" w:hAnsi="Gill Sans MT"/>
          <w:bCs/>
          <w:sz w:val="16"/>
          <w:szCs w:val="16"/>
        </w:rPr>
        <w:t xml:space="preserve"> Sanjay, </w:t>
      </w:r>
      <w:r w:rsidRPr="006A7DAE">
        <w:rPr>
          <w:rFonts w:ascii="Gill Sans MT" w:hAnsi="Gill Sans MT"/>
          <w:bCs/>
          <w:i/>
          <w:iCs/>
          <w:sz w:val="16"/>
          <w:szCs w:val="16"/>
        </w:rPr>
        <w:t>et al.</w:t>
      </w:r>
      <w:r w:rsidRPr="006A7DAE">
        <w:rPr>
          <w:rFonts w:ascii="Gill Sans MT" w:hAnsi="Gill Sans MT"/>
          <w:bCs/>
          <w:sz w:val="16"/>
          <w:szCs w:val="16"/>
        </w:rPr>
        <w:t>, 2023. Separation of motile human sperms in a T-shaped sealed microchannel. Biomed Engineer Letters 12(3): 331-42.</w:t>
      </w:r>
      <w:r w:rsidRPr="006A7DAE">
        <w:rPr>
          <w:rStyle w:val="Strong"/>
          <w:rFonts w:ascii="Gill Sans MT" w:hAnsi="Gill Sans MT"/>
          <w:b w:val="0"/>
          <w:bCs/>
          <w:sz w:val="16"/>
          <w:szCs w:val="16"/>
        </w:rPr>
        <w:t xml:space="preserve"> </w:t>
      </w:r>
    </w:p>
    <w:p w14:paraId="6E6BEFF6"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Martin-Hidalgo</w:t>
      </w:r>
      <w:r w:rsidRPr="006A7DAE">
        <w:rPr>
          <w:rStyle w:val="Strong"/>
          <w:rFonts w:ascii="Gill Sans MT" w:hAnsi="Gill Sans MT"/>
          <w:b w:val="0"/>
          <w:bCs/>
          <w:sz w:val="16"/>
          <w:szCs w:val="16"/>
        </w:rPr>
        <w:t xml:space="preserve"> D, Bragado MJ, Batista AR,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2019.</w:t>
      </w:r>
      <w:r w:rsidRPr="006A7DAE">
        <w:rPr>
          <w:rFonts w:ascii="Gill Sans MT" w:hAnsi="Gill Sans MT"/>
          <w:bCs/>
          <w:sz w:val="16"/>
          <w:szCs w:val="16"/>
        </w:rPr>
        <w:t> Antioxidants and male fertility: from molecular studies to clinical evidence. Antioxidants (Basel) 8(4):89.</w:t>
      </w:r>
    </w:p>
    <w:p w14:paraId="3DE1984B"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Mazat</w:t>
      </w:r>
      <w:r w:rsidRPr="006A7DAE">
        <w:rPr>
          <w:rStyle w:val="Strong"/>
          <w:rFonts w:ascii="Gill Sans MT" w:hAnsi="Gill Sans MT"/>
          <w:b w:val="0"/>
          <w:bCs/>
          <w:sz w:val="16"/>
          <w:szCs w:val="16"/>
        </w:rPr>
        <w:t xml:space="preserve"> JP, Devin A and Ransac S, 2020.</w:t>
      </w:r>
      <w:r w:rsidRPr="006A7DAE">
        <w:rPr>
          <w:rFonts w:ascii="Gill Sans MT" w:hAnsi="Gill Sans MT"/>
          <w:bCs/>
          <w:sz w:val="16"/>
          <w:szCs w:val="16"/>
        </w:rPr>
        <w:t> Modelling mitochondrial ROS production by the respiratory chain. Cell Mol Life Sci 77(3):455-65.</w:t>
      </w:r>
    </w:p>
    <w:p w14:paraId="129C4CB1"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Modanloo</w:t>
      </w:r>
      <w:proofErr w:type="spellEnd"/>
      <w:r w:rsidRPr="006A7DAE">
        <w:rPr>
          <w:rStyle w:val="Strong"/>
          <w:rFonts w:ascii="Gill Sans MT" w:hAnsi="Gill Sans MT"/>
          <w:b w:val="0"/>
          <w:bCs/>
          <w:sz w:val="16"/>
          <w:szCs w:val="16"/>
        </w:rPr>
        <w:t xml:space="preserve"> M and </w:t>
      </w:r>
      <w:proofErr w:type="spellStart"/>
      <w:r w:rsidRPr="006A7DAE">
        <w:rPr>
          <w:rStyle w:val="Strong"/>
          <w:rFonts w:ascii="Gill Sans MT" w:hAnsi="Gill Sans MT"/>
          <w:b w:val="0"/>
          <w:bCs/>
          <w:sz w:val="16"/>
          <w:szCs w:val="16"/>
        </w:rPr>
        <w:t>Shokrzadeh</w:t>
      </w:r>
      <w:proofErr w:type="spellEnd"/>
      <w:r w:rsidRPr="006A7DAE">
        <w:rPr>
          <w:rStyle w:val="Strong"/>
          <w:rFonts w:ascii="Gill Sans MT" w:hAnsi="Gill Sans MT"/>
          <w:b w:val="0"/>
          <w:bCs/>
          <w:sz w:val="16"/>
          <w:szCs w:val="16"/>
        </w:rPr>
        <w:t xml:space="preserve"> M, 2019.</w:t>
      </w:r>
      <w:r w:rsidRPr="006A7DAE">
        <w:rPr>
          <w:rFonts w:ascii="Gill Sans MT" w:hAnsi="Gill Sans MT"/>
          <w:bCs/>
          <w:sz w:val="16"/>
          <w:szCs w:val="16"/>
        </w:rPr>
        <w:t> Analyzing mitochondrial dysfunction, oxidative stress, and apoptosis: potential role of L-carnitine. Iran J Kidney Dis 13(2):74-86.</w:t>
      </w:r>
    </w:p>
    <w:p w14:paraId="1136D4C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EE0000"/>
          <w:sz w:val="16"/>
          <w:szCs w:val="16"/>
        </w:rPr>
        <w:t>National Research Council</w:t>
      </w:r>
      <w:r w:rsidRPr="006A7DAE">
        <w:rPr>
          <w:rStyle w:val="Strong"/>
          <w:rFonts w:ascii="Gill Sans MT" w:hAnsi="Gill Sans MT"/>
          <w:b w:val="0"/>
          <w:bCs/>
          <w:sz w:val="16"/>
          <w:szCs w:val="16"/>
        </w:rPr>
        <w:t xml:space="preserve"> (NRC), 1997.</w:t>
      </w:r>
      <w:r w:rsidRPr="006A7DAE">
        <w:rPr>
          <w:rFonts w:ascii="Gill Sans MT" w:hAnsi="Gill Sans MT"/>
          <w:bCs/>
          <w:sz w:val="16"/>
          <w:szCs w:val="16"/>
        </w:rPr>
        <w:t> Nutrient Requirements of Rabbits. 2nd Ed, Washington, DC, USA: National Academies Press.</w:t>
      </w:r>
    </w:p>
    <w:p w14:paraId="7F8EA6A4"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Neuman</w:t>
      </w:r>
      <w:r w:rsidRPr="006A7DAE">
        <w:rPr>
          <w:rStyle w:val="Strong"/>
          <w:rFonts w:ascii="Gill Sans MT" w:hAnsi="Gill Sans MT"/>
          <w:b w:val="0"/>
          <w:bCs/>
          <w:sz w:val="16"/>
          <w:szCs w:val="16"/>
        </w:rPr>
        <w:t xml:space="preserve"> SL, Lin TL and Hester PY, 2002.</w:t>
      </w:r>
      <w:r w:rsidRPr="006A7DAE">
        <w:rPr>
          <w:rFonts w:ascii="Gill Sans MT" w:hAnsi="Gill Sans MT"/>
          <w:bCs/>
          <w:sz w:val="16"/>
          <w:szCs w:val="16"/>
        </w:rPr>
        <w:t> The effect of dietary carnitine on semen traits of white Leghorn roosters. Poult Sci 81:495-503.</w:t>
      </w:r>
    </w:p>
    <w:p w14:paraId="1E9BF08B"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O'Flaherty</w:t>
      </w:r>
      <w:r w:rsidRPr="006A7DAE">
        <w:rPr>
          <w:rStyle w:val="Strong"/>
          <w:rFonts w:ascii="Gill Sans MT" w:hAnsi="Gill Sans MT"/>
          <w:b w:val="0"/>
          <w:bCs/>
          <w:sz w:val="16"/>
          <w:szCs w:val="16"/>
        </w:rPr>
        <w:t xml:space="preserve"> C and Scarlata E, 2022.</w:t>
      </w:r>
      <w:r w:rsidRPr="006A7DAE">
        <w:rPr>
          <w:rFonts w:ascii="Gill Sans MT" w:hAnsi="Gill Sans MT"/>
          <w:bCs/>
          <w:sz w:val="16"/>
          <w:szCs w:val="16"/>
        </w:rPr>
        <w:t> Oxidative stress and reproductive function: the protection of mammalian spermatozoa against oxidative stress. Reproduction 164(6): F67-F78.</w:t>
      </w:r>
    </w:p>
    <w:p w14:paraId="5F67CDD9"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Ofosu</w:t>
      </w:r>
      <w:r w:rsidRPr="006A7DAE">
        <w:rPr>
          <w:rStyle w:val="Strong"/>
          <w:rFonts w:ascii="Gill Sans MT" w:hAnsi="Gill Sans MT"/>
          <w:b w:val="0"/>
          <w:bCs/>
          <w:sz w:val="16"/>
          <w:szCs w:val="16"/>
        </w:rPr>
        <w:t xml:space="preserve"> J, Qazi IH, Fang Y,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2021.</w:t>
      </w:r>
      <w:r w:rsidRPr="006A7DAE">
        <w:rPr>
          <w:rFonts w:ascii="Gill Sans MT" w:hAnsi="Gill Sans MT"/>
          <w:bCs/>
          <w:sz w:val="16"/>
          <w:szCs w:val="16"/>
        </w:rPr>
        <w:t xml:space="preserve"> Use of melatonin in sperm cryopreservation of farm animals: A brief review. </w:t>
      </w:r>
      <w:proofErr w:type="spellStart"/>
      <w:r w:rsidRPr="006A7DAE">
        <w:rPr>
          <w:rFonts w:ascii="Gill Sans MT" w:hAnsi="Gill Sans MT"/>
          <w:bCs/>
          <w:sz w:val="16"/>
          <w:szCs w:val="16"/>
        </w:rPr>
        <w:t>Anim</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w:t>
      </w:r>
      <w:proofErr w:type="spellStart"/>
      <w:r w:rsidRPr="006A7DAE">
        <w:rPr>
          <w:rFonts w:ascii="Gill Sans MT" w:hAnsi="Gill Sans MT"/>
          <w:bCs/>
          <w:sz w:val="16"/>
          <w:szCs w:val="16"/>
        </w:rPr>
        <w:t>Sci</w:t>
      </w:r>
      <w:proofErr w:type="spellEnd"/>
      <w:r w:rsidRPr="006A7DAE">
        <w:rPr>
          <w:rFonts w:ascii="Gill Sans MT" w:hAnsi="Gill Sans MT"/>
          <w:bCs/>
          <w:sz w:val="16"/>
          <w:szCs w:val="16"/>
        </w:rPr>
        <w:t xml:space="preserve"> 233:106850.</w:t>
      </w:r>
    </w:p>
    <w:p w14:paraId="2C50F75E"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Peña</w:t>
      </w:r>
      <w:r w:rsidRPr="006A7DAE">
        <w:rPr>
          <w:rStyle w:val="Strong"/>
          <w:rFonts w:ascii="Gill Sans MT" w:hAnsi="Gill Sans MT"/>
          <w:b w:val="0"/>
          <w:bCs/>
          <w:sz w:val="16"/>
          <w:szCs w:val="16"/>
        </w:rPr>
        <w:t xml:space="preserve"> FJ, Johannisson A, Wallgren M,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xml:space="preserve">, 2003. </w:t>
      </w:r>
      <w:r w:rsidRPr="006A7DAE">
        <w:rPr>
          <w:rFonts w:ascii="Gill Sans MT" w:hAnsi="Gill Sans MT"/>
          <w:bCs/>
          <w:sz w:val="16"/>
          <w:szCs w:val="16"/>
        </w:rPr>
        <w:t>Assessment of fresh and frozen-thawed boar semen using an Annexin-V assay: A new method of evaluating sperm membrane integrity. Theriogenology 60(4):677-89.</w:t>
      </w:r>
    </w:p>
    <w:p w14:paraId="392E9C74"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Pekala</w:t>
      </w:r>
      <w:proofErr w:type="spellEnd"/>
      <w:r w:rsidRPr="006A7DAE">
        <w:rPr>
          <w:rStyle w:val="Strong"/>
          <w:rFonts w:ascii="Gill Sans MT" w:hAnsi="Gill Sans MT"/>
          <w:b w:val="0"/>
          <w:bCs/>
          <w:sz w:val="16"/>
          <w:szCs w:val="16"/>
        </w:rPr>
        <w:t xml:space="preserve"> J, </w:t>
      </w:r>
      <w:proofErr w:type="spellStart"/>
      <w:r w:rsidRPr="006A7DAE">
        <w:rPr>
          <w:rStyle w:val="Strong"/>
          <w:rFonts w:ascii="Gill Sans MT" w:hAnsi="Gill Sans MT"/>
          <w:b w:val="0"/>
          <w:bCs/>
          <w:sz w:val="16"/>
          <w:szCs w:val="16"/>
        </w:rPr>
        <w:t>Patkowska-Sokoła</w:t>
      </w:r>
      <w:proofErr w:type="spellEnd"/>
      <w:r w:rsidRPr="006A7DAE">
        <w:rPr>
          <w:rStyle w:val="Strong"/>
          <w:rFonts w:ascii="Gill Sans MT" w:hAnsi="Gill Sans MT"/>
          <w:b w:val="0"/>
          <w:bCs/>
          <w:sz w:val="16"/>
          <w:szCs w:val="16"/>
        </w:rPr>
        <w:t xml:space="preserve"> B, </w:t>
      </w:r>
      <w:proofErr w:type="spellStart"/>
      <w:r w:rsidRPr="006A7DAE">
        <w:rPr>
          <w:rStyle w:val="Strong"/>
          <w:rFonts w:ascii="Gill Sans MT" w:hAnsi="Gill Sans MT"/>
          <w:b w:val="0"/>
          <w:bCs/>
          <w:sz w:val="16"/>
          <w:szCs w:val="16"/>
        </w:rPr>
        <w:t>Bodkowski</w:t>
      </w:r>
      <w:proofErr w:type="spellEnd"/>
      <w:r w:rsidRPr="006A7DAE">
        <w:rPr>
          <w:rStyle w:val="Strong"/>
          <w:rFonts w:ascii="Gill Sans MT" w:hAnsi="Gill Sans MT"/>
          <w:b w:val="0"/>
          <w:bCs/>
          <w:sz w:val="16"/>
          <w:szCs w:val="16"/>
        </w:rPr>
        <w:t xml:space="preserve"> R,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2011.</w:t>
      </w:r>
      <w:r w:rsidRPr="006A7DAE">
        <w:rPr>
          <w:rFonts w:ascii="Gill Sans MT" w:hAnsi="Gill Sans MT"/>
          <w:bCs/>
          <w:sz w:val="16"/>
          <w:szCs w:val="16"/>
        </w:rPr>
        <w:t xml:space="preserve"> L-carnitine--metabolic functions and meaning in human life. </w:t>
      </w:r>
      <w:proofErr w:type="spellStart"/>
      <w:r w:rsidRPr="006A7DAE">
        <w:rPr>
          <w:rFonts w:ascii="Gill Sans MT" w:hAnsi="Gill Sans MT"/>
          <w:bCs/>
          <w:sz w:val="16"/>
          <w:szCs w:val="16"/>
        </w:rPr>
        <w:t>Curr</w:t>
      </w:r>
      <w:proofErr w:type="spellEnd"/>
      <w:r w:rsidRPr="006A7DAE">
        <w:rPr>
          <w:rFonts w:ascii="Gill Sans MT" w:hAnsi="Gill Sans MT"/>
          <w:bCs/>
          <w:sz w:val="16"/>
          <w:szCs w:val="16"/>
        </w:rPr>
        <w:t xml:space="preserve"> Drug </w:t>
      </w:r>
      <w:proofErr w:type="spellStart"/>
      <w:r w:rsidRPr="006A7DAE">
        <w:rPr>
          <w:rFonts w:ascii="Gill Sans MT" w:hAnsi="Gill Sans MT"/>
          <w:bCs/>
          <w:sz w:val="16"/>
          <w:szCs w:val="16"/>
        </w:rPr>
        <w:t>Metab</w:t>
      </w:r>
      <w:proofErr w:type="spellEnd"/>
      <w:r w:rsidRPr="006A7DAE">
        <w:rPr>
          <w:rFonts w:ascii="Gill Sans MT" w:hAnsi="Gill Sans MT"/>
          <w:bCs/>
          <w:sz w:val="16"/>
          <w:szCs w:val="16"/>
        </w:rPr>
        <w:t xml:space="preserve"> 12(7):667-78.</w:t>
      </w:r>
    </w:p>
    <w:p w14:paraId="4C34D6AC"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Signorini</w:t>
      </w:r>
      <w:r w:rsidRPr="006A7DAE">
        <w:rPr>
          <w:rStyle w:val="Strong"/>
          <w:rFonts w:ascii="Gill Sans MT" w:hAnsi="Gill Sans MT"/>
          <w:b w:val="0"/>
          <w:bCs/>
          <w:sz w:val="16"/>
          <w:szCs w:val="16"/>
        </w:rPr>
        <w:t xml:space="preserve"> C, </w:t>
      </w:r>
      <w:proofErr w:type="spellStart"/>
      <w:r w:rsidRPr="006A7DAE">
        <w:rPr>
          <w:rStyle w:val="Strong"/>
          <w:rFonts w:ascii="Gill Sans MT" w:hAnsi="Gill Sans MT"/>
          <w:b w:val="0"/>
          <w:bCs/>
          <w:sz w:val="16"/>
          <w:szCs w:val="16"/>
        </w:rPr>
        <w:t>Saso</w:t>
      </w:r>
      <w:proofErr w:type="spellEnd"/>
      <w:r w:rsidRPr="006A7DAE">
        <w:rPr>
          <w:rStyle w:val="Strong"/>
          <w:rFonts w:ascii="Gill Sans MT" w:hAnsi="Gill Sans MT"/>
          <w:b w:val="0"/>
          <w:bCs/>
          <w:sz w:val="16"/>
          <w:szCs w:val="16"/>
        </w:rPr>
        <w:t xml:space="preserve"> L, </w:t>
      </w:r>
      <w:proofErr w:type="spellStart"/>
      <w:r w:rsidRPr="00C62FFF">
        <w:rPr>
          <w:rStyle w:val="Strong"/>
          <w:rFonts w:ascii="Gill Sans MT" w:hAnsi="Gill Sans MT"/>
          <w:b w:val="0"/>
          <w:bCs/>
          <w:color w:val="2E74B5" w:themeColor="accent1" w:themeShade="BF"/>
          <w:sz w:val="16"/>
          <w:szCs w:val="16"/>
        </w:rPr>
        <w:t>Ghareghomi</w:t>
      </w:r>
      <w:proofErr w:type="spellEnd"/>
      <w:r w:rsidRPr="006A7DAE">
        <w:rPr>
          <w:rStyle w:val="Strong"/>
          <w:rFonts w:ascii="Gill Sans MT" w:hAnsi="Gill Sans MT"/>
          <w:b w:val="0"/>
          <w:bCs/>
          <w:sz w:val="16"/>
          <w:szCs w:val="16"/>
        </w:rPr>
        <w:t xml:space="preserve"> S,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2024.</w:t>
      </w:r>
      <w:r w:rsidRPr="006A7DAE">
        <w:rPr>
          <w:rFonts w:ascii="Gill Sans MT" w:hAnsi="Gill Sans MT"/>
          <w:bCs/>
          <w:sz w:val="16"/>
          <w:szCs w:val="16"/>
        </w:rPr>
        <w:t> Redox homeostasis and NRF2-regulated mechanisms are relevant to male infertility. Antioxidants (Basel) 13(2):193.</w:t>
      </w:r>
    </w:p>
    <w:p w14:paraId="221C57BB"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Tatemoto</w:t>
      </w:r>
      <w:proofErr w:type="spellEnd"/>
      <w:r w:rsidRPr="006A7DAE">
        <w:rPr>
          <w:rStyle w:val="Strong"/>
          <w:rFonts w:ascii="Gill Sans MT" w:hAnsi="Gill Sans MT"/>
          <w:b w:val="0"/>
          <w:bCs/>
          <w:sz w:val="16"/>
          <w:szCs w:val="16"/>
        </w:rPr>
        <w:t xml:space="preserve"> H, </w:t>
      </w:r>
      <w:proofErr w:type="spellStart"/>
      <w:r w:rsidRPr="006A7DAE">
        <w:rPr>
          <w:rStyle w:val="Strong"/>
          <w:rFonts w:ascii="Gill Sans MT" w:hAnsi="Gill Sans MT"/>
          <w:b w:val="0"/>
          <w:bCs/>
          <w:sz w:val="16"/>
          <w:szCs w:val="16"/>
        </w:rPr>
        <w:t>Osokoshi</w:t>
      </w:r>
      <w:proofErr w:type="spellEnd"/>
      <w:r w:rsidRPr="006A7DAE">
        <w:rPr>
          <w:rStyle w:val="Strong"/>
          <w:rFonts w:ascii="Gill Sans MT" w:hAnsi="Gill Sans MT"/>
          <w:b w:val="0"/>
          <w:bCs/>
          <w:sz w:val="16"/>
          <w:szCs w:val="16"/>
        </w:rPr>
        <w:t xml:space="preserve"> N, Hirai M,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2022.</w:t>
      </w:r>
      <w:r w:rsidRPr="006A7DAE">
        <w:rPr>
          <w:rFonts w:ascii="Gill Sans MT" w:hAnsi="Gill Sans MT"/>
          <w:bCs/>
          <w:sz w:val="16"/>
          <w:szCs w:val="16"/>
        </w:rPr>
        <w:t> Addition of L-carnitine to the freezing extender improves post-thaw sperm quality of Okinawan native Agu pig. Theriogenology 188:170-76.</w:t>
      </w:r>
    </w:p>
    <w:p w14:paraId="345E7335"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proofErr w:type="spellStart"/>
      <w:r w:rsidRPr="00C62FFF">
        <w:rPr>
          <w:rStyle w:val="Strong"/>
          <w:rFonts w:ascii="Gill Sans MT" w:hAnsi="Gill Sans MT"/>
          <w:b w:val="0"/>
          <w:bCs/>
          <w:color w:val="2E74B5" w:themeColor="accent1" w:themeShade="BF"/>
          <w:sz w:val="16"/>
          <w:szCs w:val="16"/>
        </w:rPr>
        <w:t>Treulen</w:t>
      </w:r>
      <w:proofErr w:type="spellEnd"/>
      <w:r w:rsidRPr="006A7DAE">
        <w:rPr>
          <w:rStyle w:val="Strong"/>
          <w:rFonts w:ascii="Gill Sans MT" w:hAnsi="Gill Sans MT"/>
          <w:b w:val="0"/>
          <w:bCs/>
          <w:sz w:val="16"/>
          <w:szCs w:val="16"/>
        </w:rPr>
        <w:t xml:space="preserve"> F, Uribe P, </w:t>
      </w:r>
      <w:proofErr w:type="spellStart"/>
      <w:r w:rsidRPr="006A7DAE">
        <w:rPr>
          <w:rStyle w:val="Strong"/>
          <w:rFonts w:ascii="Gill Sans MT" w:hAnsi="Gill Sans MT"/>
          <w:b w:val="0"/>
          <w:bCs/>
          <w:sz w:val="16"/>
          <w:szCs w:val="16"/>
        </w:rPr>
        <w:t>Boguen</w:t>
      </w:r>
      <w:proofErr w:type="spellEnd"/>
      <w:r w:rsidRPr="006A7DAE">
        <w:rPr>
          <w:rStyle w:val="Strong"/>
          <w:rFonts w:ascii="Gill Sans MT" w:hAnsi="Gill Sans MT"/>
          <w:b w:val="0"/>
          <w:bCs/>
          <w:sz w:val="16"/>
          <w:szCs w:val="16"/>
        </w:rPr>
        <w:t xml:space="preserve"> R,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2015.</w:t>
      </w:r>
      <w:r w:rsidRPr="006A7DAE">
        <w:rPr>
          <w:rFonts w:ascii="Gill Sans MT" w:hAnsi="Gill Sans MT"/>
          <w:bCs/>
          <w:sz w:val="16"/>
          <w:szCs w:val="16"/>
        </w:rPr>
        <w:t xml:space="preserve"> Mitochondrial permeability transition increases reactive oxygen species production and induces DNA fragmentation in human spermatozoa. Hum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30(4):767-76.</w:t>
      </w:r>
    </w:p>
    <w:p w14:paraId="26767CAA"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C62FFF">
        <w:rPr>
          <w:rStyle w:val="Strong"/>
          <w:rFonts w:ascii="Gill Sans MT" w:hAnsi="Gill Sans MT"/>
          <w:b w:val="0"/>
          <w:bCs/>
          <w:color w:val="2E74B5" w:themeColor="accent1" w:themeShade="BF"/>
          <w:sz w:val="16"/>
          <w:szCs w:val="16"/>
        </w:rPr>
        <w:t>Vaz</w:t>
      </w:r>
      <w:r w:rsidRPr="006A7DAE">
        <w:rPr>
          <w:rStyle w:val="Strong"/>
          <w:rFonts w:ascii="Gill Sans MT" w:hAnsi="Gill Sans MT"/>
          <w:b w:val="0"/>
          <w:bCs/>
          <w:sz w:val="16"/>
          <w:szCs w:val="16"/>
        </w:rPr>
        <w:t xml:space="preserve"> FM, Melegh B, Bene J,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2002.</w:t>
      </w:r>
      <w:r w:rsidRPr="006A7DAE">
        <w:rPr>
          <w:rFonts w:ascii="Gill Sans MT" w:hAnsi="Gill Sans MT"/>
          <w:bCs/>
          <w:sz w:val="16"/>
          <w:szCs w:val="16"/>
        </w:rPr>
        <w:t> Analysis of carnitine biosynthesis metabolites in urine by HPLC-electrospray tandem mass spectrometry. Clin Chem 361(3):417-29.</w:t>
      </w:r>
    </w:p>
    <w:p w14:paraId="2A995961"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5F3854">
        <w:rPr>
          <w:rStyle w:val="Strong"/>
          <w:rFonts w:ascii="Gill Sans MT" w:hAnsi="Gill Sans MT"/>
          <w:b w:val="0"/>
          <w:bCs/>
          <w:color w:val="2E74B5" w:themeColor="accent1" w:themeShade="BF"/>
          <w:sz w:val="16"/>
          <w:szCs w:val="16"/>
        </w:rPr>
        <w:t>Virmani</w:t>
      </w:r>
      <w:r w:rsidRPr="006A7DAE">
        <w:rPr>
          <w:rStyle w:val="Strong"/>
          <w:rFonts w:ascii="Gill Sans MT" w:hAnsi="Gill Sans MT"/>
          <w:b w:val="0"/>
          <w:bCs/>
          <w:sz w:val="16"/>
          <w:szCs w:val="16"/>
        </w:rPr>
        <w:t xml:space="preserve"> A and Binienda Z, 2004.</w:t>
      </w:r>
      <w:r w:rsidRPr="006A7DAE">
        <w:rPr>
          <w:rFonts w:ascii="Gill Sans MT" w:hAnsi="Gill Sans MT"/>
          <w:bCs/>
          <w:sz w:val="16"/>
          <w:szCs w:val="16"/>
        </w:rPr>
        <w:t> Role of carnitine esters in brain neuropathology. Mol Aspects Med 25(5-6):533-49.</w:t>
      </w:r>
    </w:p>
    <w:p w14:paraId="5806ACFD"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5F3854">
        <w:rPr>
          <w:rStyle w:val="Strong"/>
          <w:rFonts w:ascii="Gill Sans MT" w:hAnsi="Gill Sans MT"/>
          <w:b w:val="0"/>
          <w:bCs/>
          <w:color w:val="2E74B5" w:themeColor="accent1" w:themeShade="BF"/>
          <w:sz w:val="16"/>
          <w:szCs w:val="16"/>
        </w:rPr>
        <w:t>Virmani</w:t>
      </w:r>
      <w:r w:rsidRPr="006A7DAE">
        <w:rPr>
          <w:rStyle w:val="Strong"/>
          <w:rFonts w:ascii="Gill Sans MT" w:hAnsi="Gill Sans MT"/>
          <w:b w:val="0"/>
          <w:bCs/>
          <w:sz w:val="16"/>
          <w:szCs w:val="16"/>
        </w:rPr>
        <w:t xml:space="preserve"> MA and Cirulli M, 2022.</w:t>
      </w:r>
      <w:r w:rsidRPr="006A7DAE">
        <w:rPr>
          <w:rFonts w:ascii="Gill Sans MT" w:hAnsi="Gill Sans MT"/>
          <w:bCs/>
          <w:sz w:val="16"/>
          <w:szCs w:val="16"/>
        </w:rPr>
        <w:t> The Role of L-carnitine in mitochondria, prevention of metabolic inflexibility and disease initiation. Int J Mol Sci 23(5):2717.</w:t>
      </w:r>
    </w:p>
    <w:p w14:paraId="13273C15"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5F3854">
        <w:rPr>
          <w:rStyle w:val="Strong"/>
          <w:rFonts w:ascii="Gill Sans MT" w:hAnsi="Gill Sans MT"/>
          <w:b w:val="0"/>
          <w:bCs/>
          <w:color w:val="2E74B5" w:themeColor="accent1" w:themeShade="BF"/>
          <w:sz w:val="16"/>
          <w:szCs w:val="16"/>
        </w:rPr>
        <w:t>Wakabayashi</w:t>
      </w:r>
      <w:r w:rsidRPr="006A7DAE">
        <w:rPr>
          <w:rStyle w:val="Strong"/>
          <w:rFonts w:ascii="Gill Sans MT" w:hAnsi="Gill Sans MT"/>
          <w:b w:val="0"/>
          <w:bCs/>
          <w:sz w:val="16"/>
          <w:szCs w:val="16"/>
        </w:rPr>
        <w:t xml:space="preserve"> N, Shin S, Slocum SL,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2010.</w:t>
      </w:r>
      <w:r w:rsidRPr="006A7DAE">
        <w:rPr>
          <w:rFonts w:ascii="Gill Sans MT" w:hAnsi="Gill Sans MT"/>
          <w:bCs/>
          <w:sz w:val="16"/>
          <w:szCs w:val="16"/>
        </w:rPr>
        <w:t> Regulation of notch1 signaling by NRF2: implications for tissue regeneration. Sci Signal 3(130):ra52.</w:t>
      </w:r>
    </w:p>
    <w:p w14:paraId="6338A0C2"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5F3854">
        <w:rPr>
          <w:rStyle w:val="Strong"/>
          <w:rFonts w:ascii="Gill Sans MT" w:hAnsi="Gill Sans MT"/>
          <w:b w:val="0"/>
          <w:bCs/>
          <w:color w:val="2E74B5" w:themeColor="accent1" w:themeShade="BF"/>
          <w:sz w:val="16"/>
          <w:szCs w:val="16"/>
        </w:rPr>
        <w:t>Wang</w:t>
      </w:r>
      <w:r w:rsidRPr="006A7DAE">
        <w:rPr>
          <w:rStyle w:val="Strong"/>
          <w:rFonts w:ascii="Gill Sans MT" w:hAnsi="Gill Sans MT"/>
          <w:b w:val="0"/>
          <w:bCs/>
          <w:sz w:val="16"/>
          <w:szCs w:val="16"/>
        </w:rPr>
        <w:t xml:space="preserve"> X, Huang S, Zhao Y,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2025.</w:t>
      </w:r>
      <w:r w:rsidRPr="006A7DAE">
        <w:rPr>
          <w:rFonts w:ascii="Gill Sans MT" w:hAnsi="Gill Sans MT"/>
          <w:bCs/>
          <w:sz w:val="16"/>
          <w:szCs w:val="16"/>
        </w:rPr>
        <w:t xml:space="preserve"> Activation of autophagy is required for clearance of mitochondrial ROS in patients with </w:t>
      </w:r>
      <w:proofErr w:type="spellStart"/>
      <w:r w:rsidRPr="006A7DAE">
        <w:rPr>
          <w:rFonts w:ascii="Gill Sans MT" w:hAnsi="Gill Sans MT"/>
          <w:bCs/>
          <w:sz w:val="16"/>
          <w:szCs w:val="16"/>
        </w:rPr>
        <w:t>asthenozoospermia</w:t>
      </w:r>
      <w:proofErr w:type="spellEnd"/>
      <w:r w:rsidRPr="006A7DAE">
        <w:rPr>
          <w:rFonts w:ascii="Gill Sans MT" w:hAnsi="Gill Sans MT"/>
          <w:bCs/>
          <w:sz w:val="16"/>
          <w:szCs w:val="16"/>
        </w:rPr>
        <w:t>. Peer J 13: e18827.</w:t>
      </w:r>
    </w:p>
    <w:p w14:paraId="0E7C15FC"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5F3854">
        <w:rPr>
          <w:rStyle w:val="Strong"/>
          <w:rFonts w:ascii="Gill Sans MT" w:hAnsi="Gill Sans MT"/>
          <w:b w:val="0"/>
          <w:bCs/>
          <w:color w:val="2E74B5" w:themeColor="accent1" w:themeShade="BF"/>
          <w:sz w:val="16"/>
          <w:szCs w:val="16"/>
        </w:rPr>
        <w:t>Wright</w:t>
      </w:r>
      <w:r w:rsidRPr="006A7DAE">
        <w:rPr>
          <w:rStyle w:val="Strong"/>
          <w:rFonts w:ascii="Gill Sans MT" w:hAnsi="Gill Sans MT"/>
          <w:b w:val="0"/>
          <w:bCs/>
          <w:sz w:val="16"/>
          <w:szCs w:val="16"/>
        </w:rPr>
        <w:t xml:space="preserve"> C, Milne S and Leeson H, 2014.</w:t>
      </w:r>
      <w:r w:rsidRPr="006A7DAE">
        <w:rPr>
          <w:rFonts w:ascii="Gill Sans MT" w:hAnsi="Gill Sans MT"/>
          <w:bCs/>
          <w:sz w:val="16"/>
          <w:szCs w:val="16"/>
        </w:rPr>
        <w:t xml:space="preserve"> Sperm DNA damage caused by oxidative stress: modifiable clinical, lifestyle and nutritional factors in male infertility. </w:t>
      </w:r>
      <w:proofErr w:type="spellStart"/>
      <w:r w:rsidRPr="006A7DAE">
        <w:rPr>
          <w:rFonts w:ascii="Gill Sans MT" w:hAnsi="Gill Sans MT"/>
          <w:bCs/>
          <w:sz w:val="16"/>
          <w:szCs w:val="16"/>
        </w:rPr>
        <w:t>Reprod</w:t>
      </w:r>
      <w:proofErr w:type="spellEnd"/>
      <w:r w:rsidRPr="006A7DAE">
        <w:rPr>
          <w:rFonts w:ascii="Gill Sans MT" w:hAnsi="Gill Sans MT"/>
          <w:bCs/>
          <w:sz w:val="16"/>
          <w:szCs w:val="16"/>
        </w:rPr>
        <w:t xml:space="preserve"> Biomed Online 28(6):684-703.</w:t>
      </w:r>
    </w:p>
    <w:p w14:paraId="4964206A" w14:textId="77777777" w:rsidR="006A7DAE" w:rsidRPr="006A7DAE" w:rsidRDefault="006A7DAE" w:rsidP="006A7DAE">
      <w:pPr>
        <w:pStyle w:val="NormalWeb"/>
        <w:spacing w:before="0" w:beforeAutospacing="0" w:after="0" w:afterAutospacing="0"/>
        <w:ind w:left="360" w:hanging="360"/>
        <w:jc w:val="both"/>
        <w:rPr>
          <w:rFonts w:ascii="Gill Sans MT" w:hAnsi="Gill Sans MT"/>
          <w:bCs/>
          <w:sz w:val="16"/>
          <w:szCs w:val="16"/>
        </w:rPr>
      </w:pPr>
      <w:r w:rsidRPr="005F3854">
        <w:rPr>
          <w:rStyle w:val="Strong"/>
          <w:rFonts w:ascii="Gill Sans MT" w:hAnsi="Gill Sans MT"/>
          <w:b w:val="0"/>
          <w:bCs/>
          <w:color w:val="2E74B5" w:themeColor="accent1" w:themeShade="BF"/>
          <w:sz w:val="16"/>
          <w:szCs w:val="16"/>
        </w:rPr>
        <w:t>Wu</w:t>
      </w:r>
      <w:r w:rsidRPr="006A7DAE">
        <w:rPr>
          <w:rStyle w:val="Strong"/>
          <w:rFonts w:ascii="Gill Sans MT" w:hAnsi="Gill Sans MT"/>
          <w:b w:val="0"/>
          <w:bCs/>
          <w:sz w:val="16"/>
          <w:szCs w:val="16"/>
        </w:rPr>
        <w:t xml:space="preserve"> Y, Zhao JF, Xu CC, </w:t>
      </w:r>
      <w:r w:rsidRPr="006A7DAE">
        <w:rPr>
          <w:rStyle w:val="Strong"/>
          <w:rFonts w:ascii="Gill Sans MT" w:hAnsi="Gill Sans MT"/>
          <w:b w:val="0"/>
          <w:bCs/>
          <w:i/>
          <w:iCs/>
          <w:sz w:val="16"/>
          <w:szCs w:val="16"/>
        </w:rPr>
        <w:t>et al.</w:t>
      </w:r>
      <w:r w:rsidRPr="006A7DAE">
        <w:rPr>
          <w:rStyle w:val="Strong"/>
          <w:rFonts w:ascii="Gill Sans MT" w:hAnsi="Gill Sans MT"/>
          <w:b w:val="0"/>
          <w:bCs/>
          <w:sz w:val="16"/>
          <w:szCs w:val="16"/>
        </w:rPr>
        <w:t>, 2020.</w:t>
      </w:r>
      <w:r w:rsidRPr="006A7DAE">
        <w:rPr>
          <w:rFonts w:ascii="Gill Sans MT" w:hAnsi="Gill Sans MT"/>
          <w:bCs/>
          <w:sz w:val="16"/>
          <w:szCs w:val="16"/>
        </w:rPr>
        <w:t xml:space="preserve"> Progress towards pig nutrition in the last 27 years. J Sci Food Agric 100(14):5102-10. </w:t>
      </w:r>
    </w:p>
    <w:p w14:paraId="14EAADDB" w14:textId="213C615F" w:rsidR="00064C74" w:rsidRPr="006A7DAE" w:rsidRDefault="006A7DAE" w:rsidP="006A7DAE">
      <w:pPr>
        <w:pStyle w:val="EndNoteBibliography"/>
        <w:spacing w:after="0"/>
        <w:ind w:left="360" w:hanging="360"/>
        <w:jc w:val="both"/>
        <w:rPr>
          <w:rFonts w:ascii="Gill Sans MT" w:hAnsi="Gill Sans MT" w:cs="Times New Roman"/>
          <w:bCs/>
          <w:sz w:val="16"/>
          <w:szCs w:val="16"/>
        </w:rPr>
      </w:pPr>
      <w:r w:rsidRPr="005F3854">
        <w:rPr>
          <w:rFonts w:ascii="Gill Sans MT" w:hAnsi="Gill Sans MT" w:cs="Times New Roman"/>
          <w:bCs/>
          <w:color w:val="2E74B5" w:themeColor="accent1" w:themeShade="BF"/>
          <w:sz w:val="16"/>
          <w:szCs w:val="16"/>
        </w:rPr>
        <w:t>Zhang</w:t>
      </w:r>
      <w:r w:rsidRPr="006A7DAE">
        <w:rPr>
          <w:rFonts w:ascii="Gill Sans MT" w:hAnsi="Gill Sans MT" w:cs="Times New Roman"/>
          <w:bCs/>
          <w:sz w:val="16"/>
          <w:szCs w:val="16"/>
        </w:rPr>
        <w:t xml:space="preserve"> W, Min L, Li Y, </w:t>
      </w:r>
      <w:r w:rsidRPr="006A7DAE">
        <w:rPr>
          <w:rFonts w:ascii="Gill Sans MT" w:hAnsi="Gill Sans MT" w:cs="Times New Roman"/>
          <w:bCs/>
          <w:i/>
          <w:iCs/>
          <w:sz w:val="16"/>
          <w:szCs w:val="16"/>
        </w:rPr>
        <w:t>et al.</w:t>
      </w:r>
      <w:r w:rsidRPr="006A7DAE">
        <w:rPr>
          <w:rFonts w:ascii="Gill Sans MT" w:hAnsi="Gill Sans MT" w:cs="Times New Roman"/>
          <w:bCs/>
          <w:sz w:val="16"/>
          <w:szCs w:val="16"/>
        </w:rPr>
        <w:t>, 2022. Beneficial effect of proline supplementation on goat spermatozoa quality during cryopreservation. Animals 12: 2626.</w:t>
      </w:r>
    </w:p>
    <w:p w14:paraId="362B20C8" w14:textId="77777777" w:rsidR="00F40E47" w:rsidRPr="00F40E47" w:rsidRDefault="00F40E47" w:rsidP="00F40E47">
      <w:pPr>
        <w:pStyle w:val="EndNoteBibliography"/>
        <w:spacing w:after="0"/>
        <w:ind w:left="360" w:hanging="360"/>
        <w:jc w:val="both"/>
        <w:rPr>
          <w:rFonts w:ascii="Gill Sans MT" w:hAnsi="Gill Sans MT" w:cs="Times New Roman"/>
          <w:bCs/>
          <w:sz w:val="12"/>
          <w:szCs w:val="20"/>
        </w:rPr>
        <w:sectPr w:rsidR="00F40E47" w:rsidRPr="00F40E47" w:rsidSect="00B96FFB">
          <w:type w:val="continuous"/>
          <w:pgSz w:w="11909" w:h="16834" w:code="9"/>
          <w:pgMar w:top="1080" w:right="1080" w:bottom="1080" w:left="1080" w:header="720" w:footer="720" w:gutter="0"/>
          <w:cols w:num="2" w:space="360"/>
          <w:docGrid w:linePitch="360"/>
        </w:sectPr>
      </w:pPr>
    </w:p>
    <w:p w14:paraId="4A27CBA7" w14:textId="77777777" w:rsidR="004B07A6" w:rsidRPr="00F40E47" w:rsidRDefault="004B07A6" w:rsidP="00F40E47">
      <w:pPr>
        <w:ind w:left="360" w:hanging="360"/>
        <w:rPr>
          <w:rFonts w:ascii="Gill Sans MT" w:hAnsi="Gill Sans MT"/>
          <w:sz w:val="20"/>
        </w:rPr>
      </w:pPr>
    </w:p>
    <w:sectPr w:rsidR="004B07A6" w:rsidRPr="00F40E47" w:rsidSect="00B96FFB">
      <w:type w:val="continuous"/>
      <w:pgSz w:w="11909" w:h="16834" w:code="9"/>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794DB" w14:textId="77777777" w:rsidR="0064299D" w:rsidRDefault="0064299D" w:rsidP="00664294">
      <w:r>
        <w:separator/>
      </w:r>
    </w:p>
  </w:endnote>
  <w:endnote w:type="continuationSeparator" w:id="0">
    <w:p w14:paraId="77E6F473" w14:textId="77777777" w:rsidR="0064299D" w:rsidRDefault="0064299D" w:rsidP="00664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Esenin script One">
    <w:panose1 w:val="03000400000000000000"/>
    <w:charset w:val="00"/>
    <w:family w:val="script"/>
    <w:pitch w:val="variable"/>
    <w:sig w:usb0="00000203" w:usb1="00000000" w:usb2="00000000" w:usb3="00000000" w:csb0="00000005" w:csb1="00000000"/>
  </w:font>
  <w:font w:name="DotumChe">
    <w:charset w:val="81"/>
    <w:family w:val="modern"/>
    <w:pitch w:val="fixed"/>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Noto Sans SC Black">
    <w:altName w:val="Microsoft YaHei"/>
    <w:charset w:val="86"/>
    <w:family w:val="swiss"/>
    <w:pitch w:val="default"/>
    <w:sig w:usb0="20000083" w:usb1="2ADF3C10" w:usb2="00000016" w:usb3="00000000" w:csb0="600601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55A59" w14:textId="77777777" w:rsidR="00890324" w:rsidRPr="00040F74" w:rsidRDefault="00890324" w:rsidP="00B96FFB">
    <w:pPr>
      <w:pStyle w:val="Footer"/>
      <w:jc w:val="center"/>
      <w:rPr>
        <w:sz w:val="20"/>
      </w:rPr>
    </w:pPr>
    <w:r w:rsidRPr="00040F74">
      <w:rPr>
        <w:sz w:val="20"/>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AE4C9" w14:textId="77777777" w:rsidR="0064299D" w:rsidRDefault="0064299D" w:rsidP="00664294">
      <w:r>
        <w:separator/>
      </w:r>
    </w:p>
  </w:footnote>
  <w:footnote w:type="continuationSeparator" w:id="0">
    <w:p w14:paraId="5F361435" w14:textId="77777777" w:rsidR="0064299D" w:rsidRDefault="0064299D" w:rsidP="006642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DB4B0" w14:textId="77777777" w:rsidR="00890324" w:rsidRDefault="00890324" w:rsidP="0066429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299AB4" w14:textId="77777777" w:rsidR="00890324" w:rsidRDefault="00890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639A" w14:textId="1646ED67" w:rsidR="00890324" w:rsidRPr="00FD2102" w:rsidRDefault="00890324" w:rsidP="00B96FFB">
    <w:pPr>
      <w:pStyle w:val="Header"/>
      <w:framePr w:wrap="around" w:vAnchor="text" w:hAnchor="margin" w:xAlign="center" w:y="1"/>
      <w:rPr>
        <w:rStyle w:val="PageNumber"/>
        <w:sz w:val="20"/>
        <w:szCs w:val="20"/>
        <w:lang w:val="sv-SE"/>
      </w:rPr>
    </w:pPr>
    <w:r w:rsidRPr="00664294">
      <w:rPr>
        <w:rStyle w:val="PageNumber"/>
        <w:sz w:val="20"/>
        <w:szCs w:val="20"/>
      </w:rPr>
      <w:fldChar w:fldCharType="begin"/>
    </w:r>
    <w:r w:rsidRPr="00FD2102">
      <w:rPr>
        <w:rStyle w:val="PageNumber"/>
        <w:sz w:val="20"/>
        <w:szCs w:val="20"/>
        <w:lang w:val="sv-SE"/>
      </w:rPr>
      <w:instrText xml:space="preserve">PAGE  </w:instrText>
    </w:r>
    <w:r w:rsidRPr="00664294">
      <w:rPr>
        <w:rStyle w:val="PageNumber"/>
        <w:sz w:val="20"/>
        <w:szCs w:val="20"/>
      </w:rPr>
      <w:fldChar w:fldCharType="separate"/>
    </w:r>
    <w:r w:rsidR="00C413B0">
      <w:rPr>
        <w:rStyle w:val="PageNumber"/>
        <w:noProof/>
        <w:sz w:val="20"/>
        <w:szCs w:val="20"/>
      </w:rPr>
      <w:t>10</w:t>
    </w:r>
    <w:r w:rsidRPr="00664294">
      <w:rPr>
        <w:rStyle w:val="PageNumber"/>
        <w:sz w:val="20"/>
        <w:szCs w:val="20"/>
      </w:rPr>
      <w:fldChar w:fldCharType="end"/>
    </w:r>
  </w:p>
  <w:p w14:paraId="470CF02C" w14:textId="77777777" w:rsidR="00890324" w:rsidRPr="005A199D" w:rsidRDefault="00890324" w:rsidP="000A57FA">
    <w:pPr>
      <w:pStyle w:val="Header"/>
      <w:ind w:left="5040"/>
      <w:jc w:val="right"/>
      <w:rPr>
        <w:lang w:val="nl-NL"/>
      </w:rPr>
    </w:pPr>
    <w:r w:rsidRPr="005A199D">
      <w:rPr>
        <w:b/>
        <w:sz w:val="20"/>
        <w:szCs w:val="20"/>
        <w:lang w:val="nl-NL"/>
      </w:rPr>
      <w:t xml:space="preserve">Pak Vet J, </w:t>
    </w:r>
    <w:r>
      <w:rPr>
        <w:b/>
        <w:sz w:val="20"/>
        <w:szCs w:val="20"/>
        <w:lang w:val="nl-NL"/>
      </w:rPr>
      <w:t>xxxx</w:t>
    </w:r>
    <w:r w:rsidRPr="005A199D">
      <w:rPr>
        <w:b/>
        <w:sz w:val="20"/>
        <w:szCs w:val="20"/>
        <w:lang w:val="nl-NL"/>
      </w:rPr>
      <w:t xml:space="preserve">, </w:t>
    </w:r>
    <w:r>
      <w:rPr>
        <w:b/>
        <w:sz w:val="20"/>
        <w:szCs w:val="20"/>
        <w:lang w:val="nl-NL"/>
      </w:rPr>
      <w:t>xx</w:t>
    </w:r>
    <w:r w:rsidRPr="005A199D">
      <w:rPr>
        <w:b/>
        <w:sz w:val="20"/>
        <w:szCs w:val="20"/>
        <w:lang w:val="nl-NL"/>
      </w:rPr>
      <w:t>(x): xxx.</w:t>
    </w:r>
  </w:p>
  <w:p w14:paraId="5666B108" w14:textId="77777777" w:rsidR="00890324" w:rsidRPr="00FD2102" w:rsidRDefault="00890324">
    <w:pPr>
      <w:pStyle w:val="Header"/>
      <w:rPr>
        <w:lang w:val="sv-S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66846"/>
    <w:multiLevelType w:val="hybridMultilevel"/>
    <w:tmpl w:val="0B807FCE"/>
    <w:lvl w:ilvl="0" w:tplc="D196DD7A">
      <w:start w:val="1"/>
      <w:numFmt w:val="decimal"/>
      <w:lvlText w:val="%1."/>
      <w:lvlJc w:val="left"/>
      <w:pPr>
        <w:ind w:left="358" w:hanging="360"/>
      </w:pPr>
      <w:rPr>
        <w:rFonts w:eastAsia="Arial"/>
        <w:b/>
      </w:rPr>
    </w:lvl>
    <w:lvl w:ilvl="1" w:tplc="04090019">
      <w:start w:val="1"/>
      <w:numFmt w:val="lowerLetter"/>
      <w:lvlText w:val="%2."/>
      <w:lvlJc w:val="left"/>
      <w:pPr>
        <w:ind w:left="1078" w:hanging="360"/>
      </w:pPr>
    </w:lvl>
    <w:lvl w:ilvl="2" w:tplc="0409001B">
      <w:start w:val="1"/>
      <w:numFmt w:val="lowerRoman"/>
      <w:lvlText w:val="%3."/>
      <w:lvlJc w:val="right"/>
      <w:pPr>
        <w:ind w:left="1798" w:hanging="180"/>
      </w:pPr>
    </w:lvl>
    <w:lvl w:ilvl="3" w:tplc="0409000F">
      <w:start w:val="1"/>
      <w:numFmt w:val="decimal"/>
      <w:lvlText w:val="%4."/>
      <w:lvlJc w:val="left"/>
      <w:pPr>
        <w:ind w:left="2518" w:hanging="360"/>
      </w:pPr>
    </w:lvl>
    <w:lvl w:ilvl="4" w:tplc="04090019">
      <w:start w:val="1"/>
      <w:numFmt w:val="lowerLetter"/>
      <w:lvlText w:val="%5."/>
      <w:lvlJc w:val="left"/>
      <w:pPr>
        <w:ind w:left="3238" w:hanging="360"/>
      </w:pPr>
    </w:lvl>
    <w:lvl w:ilvl="5" w:tplc="0409001B">
      <w:start w:val="1"/>
      <w:numFmt w:val="lowerRoman"/>
      <w:lvlText w:val="%6."/>
      <w:lvlJc w:val="right"/>
      <w:pPr>
        <w:ind w:left="3958" w:hanging="180"/>
      </w:pPr>
    </w:lvl>
    <w:lvl w:ilvl="6" w:tplc="0409000F">
      <w:start w:val="1"/>
      <w:numFmt w:val="decimal"/>
      <w:lvlText w:val="%7."/>
      <w:lvlJc w:val="left"/>
      <w:pPr>
        <w:ind w:left="4678" w:hanging="360"/>
      </w:pPr>
    </w:lvl>
    <w:lvl w:ilvl="7" w:tplc="04090019">
      <w:start w:val="1"/>
      <w:numFmt w:val="lowerLetter"/>
      <w:lvlText w:val="%8."/>
      <w:lvlJc w:val="left"/>
      <w:pPr>
        <w:ind w:left="5398" w:hanging="360"/>
      </w:pPr>
    </w:lvl>
    <w:lvl w:ilvl="8" w:tplc="0409001B">
      <w:start w:val="1"/>
      <w:numFmt w:val="lowerRoman"/>
      <w:lvlText w:val="%9."/>
      <w:lvlJc w:val="right"/>
      <w:pPr>
        <w:ind w:left="6118" w:hanging="180"/>
      </w:pPr>
    </w:lvl>
  </w:abstractNum>
  <w:abstractNum w:abstractNumId="1" w15:restartNumberingAfterBreak="0">
    <w:nsid w:val="1E887062"/>
    <w:multiLevelType w:val="hybridMultilevel"/>
    <w:tmpl w:val="447E156C"/>
    <w:lvl w:ilvl="0" w:tplc="04100001">
      <w:start w:val="1"/>
      <w:numFmt w:val="bullet"/>
      <w:lvlText w:val=""/>
      <w:lvlJc w:val="left"/>
      <w:pPr>
        <w:ind w:left="718" w:hanging="360"/>
      </w:pPr>
      <w:rPr>
        <w:rFonts w:ascii="Symbol" w:hAnsi="Symbol" w:hint="default"/>
      </w:rPr>
    </w:lvl>
    <w:lvl w:ilvl="1" w:tplc="04100003">
      <w:start w:val="1"/>
      <w:numFmt w:val="bullet"/>
      <w:lvlText w:val="o"/>
      <w:lvlJc w:val="left"/>
      <w:pPr>
        <w:ind w:left="1438" w:hanging="360"/>
      </w:pPr>
      <w:rPr>
        <w:rFonts w:ascii="Courier New" w:hAnsi="Courier New" w:cs="Courier New" w:hint="default"/>
      </w:rPr>
    </w:lvl>
    <w:lvl w:ilvl="2" w:tplc="04100005">
      <w:start w:val="1"/>
      <w:numFmt w:val="bullet"/>
      <w:lvlText w:val=""/>
      <w:lvlJc w:val="left"/>
      <w:pPr>
        <w:ind w:left="2158" w:hanging="360"/>
      </w:pPr>
      <w:rPr>
        <w:rFonts w:ascii="Wingdings" w:hAnsi="Wingdings" w:hint="default"/>
      </w:rPr>
    </w:lvl>
    <w:lvl w:ilvl="3" w:tplc="04100001">
      <w:start w:val="1"/>
      <w:numFmt w:val="bullet"/>
      <w:lvlText w:val=""/>
      <w:lvlJc w:val="left"/>
      <w:pPr>
        <w:ind w:left="2878" w:hanging="360"/>
      </w:pPr>
      <w:rPr>
        <w:rFonts w:ascii="Symbol" w:hAnsi="Symbol" w:hint="default"/>
      </w:rPr>
    </w:lvl>
    <w:lvl w:ilvl="4" w:tplc="04100003">
      <w:start w:val="1"/>
      <w:numFmt w:val="bullet"/>
      <w:lvlText w:val="o"/>
      <w:lvlJc w:val="left"/>
      <w:pPr>
        <w:ind w:left="3598" w:hanging="360"/>
      </w:pPr>
      <w:rPr>
        <w:rFonts w:ascii="Courier New" w:hAnsi="Courier New" w:cs="Courier New" w:hint="default"/>
      </w:rPr>
    </w:lvl>
    <w:lvl w:ilvl="5" w:tplc="04100005">
      <w:start w:val="1"/>
      <w:numFmt w:val="bullet"/>
      <w:lvlText w:val=""/>
      <w:lvlJc w:val="left"/>
      <w:pPr>
        <w:ind w:left="4318" w:hanging="360"/>
      </w:pPr>
      <w:rPr>
        <w:rFonts w:ascii="Wingdings" w:hAnsi="Wingdings" w:hint="default"/>
      </w:rPr>
    </w:lvl>
    <w:lvl w:ilvl="6" w:tplc="04100001">
      <w:start w:val="1"/>
      <w:numFmt w:val="bullet"/>
      <w:lvlText w:val=""/>
      <w:lvlJc w:val="left"/>
      <w:pPr>
        <w:ind w:left="5038" w:hanging="360"/>
      </w:pPr>
      <w:rPr>
        <w:rFonts w:ascii="Symbol" w:hAnsi="Symbol" w:hint="default"/>
      </w:rPr>
    </w:lvl>
    <w:lvl w:ilvl="7" w:tplc="04100003">
      <w:start w:val="1"/>
      <w:numFmt w:val="bullet"/>
      <w:lvlText w:val="o"/>
      <w:lvlJc w:val="left"/>
      <w:pPr>
        <w:ind w:left="5758" w:hanging="360"/>
      </w:pPr>
      <w:rPr>
        <w:rFonts w:ascii="Courier New" w:hAnsi="Courier New" w:cs="Courier New" w:hint="default"/>
      </w:rPr>
    </w:lvl>
    <w:lvl w:ilvl="8" w:tplc="04100005">
      <w:start w:val="1"/>
      <w:numFmt w:val="bullet"/>
      <w:lvlText w:val=""/>
      <w:lvlJc w:val="left"/>
      <w:pPr>
        <w:ind w:left="6478"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E3"/>
    <w:rsid w:val="00003004"/>
    <w:rsid w:val="00011F13"/>
    <w:rsid w:val="0002287D"/>
    <w:rsid w:val="00022AAD"/>
    <w:rsid w:val="000400D7"/>
    <w:rsid w:val="00042C32"/>
    <w:rsid w:val="000431DD"/>
    <w:rsid w:val="000451D3"/>
    <w:rsid w:val="00053E57"/>
    <w:rsid w:val="00064C74"/>
    <w:rsid w:val="0008749A"/>
    <w:rsid w:val="000913D8"/>
    <w:rsid w:val="00094ECA"/>
    <w:rsid w:val="000A08D2"/>
    <w:rsid w:val="000A57FA"/>
    <w:rsid w:val="000A5DEC"/>
    <w:rsid w:val="000B2613"/>
    <w:rsid w:val="000B3C70"/>
    <w:rsid w:val="000B4294"/>
    <w:rsid w:val="000D3CDD"/>
    <w:rsid w:val="000E5709"/>
    <w:rsid w:val="000E773E"/>
    <w:rsid w:val="000F10C2"/>
    <w:rsid w:val="000F3ACD"/>
    <w:rsid w:val="000F575E"/>
    <w:rsid w:val="000F690E"/>
    <w:rsid w:val="001023AC"/>
    <w:rsid w:val="00107CA8"/>
    <w:rsid w:val="00111CE9"/>
    <w:rsid w:val="00112858"/>
    <w:rsid w:val="001138DC"/>
    <w:rsid w:val="00122046"/>
    <w:rsid w:val="00126352"/>
    <w:rsid w:val="00137659"/>
    <w:rsid w:val="00151F9F"/>
    <w:rsid w:val="00160957"/>
    <w:rsid w:val="00163252"/>
    <w:rsid w:val="00175EAC"/>
    <w:rsid w:val="00177CF4"/>
    <w:rsid w:val="00182AC1"/>
    <w:rsid w:val="00185D72"/>
    <w:rsid w:val="0019344A"/>
    <w:rsid w:val="001A5731"/>
    <w:rsid w:val="001D1BBE"/>
    <w:rsid w:val="001D25DC"/>
    <w:rsid w:val="001D2B7F"/>
    <w:rsid w:val="001D2FA5"/>
    <w:rsid w:val="001D30A4"/>
    <w:rsid w:val="001E3300"/>
    <w:rsid w:val="001E7818"/>
    <w:rsid w:val="00200CFF"/>
    <w:rsid w:val="00207C59"/>
    <w:rsid w:val="00212306"/>
    <w:rsid w:val="00217860"/>
    <w:rsid w:val="002203C4"/>
    <w:rsid w:val="00222D93"/>
    <w:rsid w:val="002309E0"/>
    <w:rsid w:val="00232A92"/>
    <w:rsid w:val="002346D7"/>
    <w:rsid w:val="00235088"/>
    <w:rsid w:val="00237951"/>
    <w:rsid w:val="00237B8F"/>
    <w:rsid w:val="002446EE"/>
    <w:rsid w:val="0024589E"/>
    <w:rsid w:val="00246920"/>
    <w:rsid w:val="00252F6B"/>
    <w:rsid w:val="00261303"/>
    <w:rsid w:val="002659C1"/>
    <w:rsid w:val="00266033"/>
    <w:rsid w:val="00272D4B"/>
    <w:rsid w:val="00273AF2"/>
    <w:rsid w:val="002743E2"/>
    <w:rsid w:val="00277A03"/>
    <w:rsid w:val="002877EC"/>
    <w:rsid w:val="00290795"/>
    <w:rsid w:val="002B1210"/>
    <w:rsid w:val="002B3899"/>
    <w:rsid w:val="002B3BA5"/>
    <w:rsid w:val="002B4838"/>
    <w:rsid w:val="002D406D"/>
    <w:rsid w:val="002E31AB"/>
    <w:rsid w:val="002E3A9F"/>
    <w:rsid w:val="002E3ACB"/>
    <w:rsid w:val="002E425F"/>
    <w:rsid w:val="002E7089"/>
    <w:rsid w:val="002E7ADF"/>
    <w:rsid w:val="002F4226"/>
    <w:rsid w:val="002F4F67"/>
    <w:rsid w:val="002F6346"/>
    <w:rsid w:val="00300800"/>
    <w:rsid w:val="00301805"/>
    <w:rsid w:val="00302FDE"/>
    <w:rsid w:val="00315259"/>
    <w:rsid w:val="00327A0C"/>
    <w:rsid w:val="0033316B"/>
    <w:rsid w:val="003338AD"/>
    <w:rsid w:val="00334DC3"/>
    <w:rsid w:val="0035276E"/>
    <w:rsid w:val="003531D6"/>
    <w:rsid w:val="0035416C"/>
    <w:rsid w:val="00355ECC"/>
    <w:rsid w:val="00361FE4"/>
    <w:rsid w:val="00367B6D"/>
    <w:rsid w:val="003716B0"/>
    <w:rsid w:val="0037458F"/>
    <w:rsid w:val="0037516B"/>
    <w:rsid w:val="0039210A"/>
    <w:rsid w:val="003974C8"/>
    <w:rsid w:val="003A0B8A"/>
    <w:rsid w:val="003C6EE8"/>
    <w:rsid w:val="003D5729"/>
    <w:rsid w:val="003E020B"/>
    <w:rsid w:val="003E56B9"/>
    <w:rsid w:val="003F0139"/>
    <w:rsid w:val="003F2A2F"/>
    <w:rsid w:val="003F6133"/>
    <w:rsid w:val="004020D9"/>
    <w:rsid w:val="004076D2"/>
    <w:rsid w:val="0041099F"/>
    <w:rsid w:val="00414B60"/>
    <w:rsid w:val="00431EF3"/>
    <w:rsid w:val="00432E65"/>
    <w:rsid w:val="004359E3"/>
    <w:rsid w:val="0047296A"/>
    <w:rsid w:val="00475F2C"/>
    <w:rsid w:val="00480152"/>
    <w:rsid w:val="004802B9"/>
    <w:rsid w:val="0049015F"/>
    <w:rsid w:val="00491542"/>
    <w:rsid w:val="004936D6"/>
    <w:rsid w:val="004946F8"/>
    <w:rsid w:val="004947FB"/>
    <w:rsid w:val="00496047"/>
    <w:rsid w:val="004A56D0"/>
    <w:rsid w:val="004A6EA6"/>
    <w:rsid w:val="004B07A6"/>
    <w:rsid w:val="004B0A0A"/>
    <w:rsid w:val="004B2E09"/>
    <w:rsid w:val="004B3A51"/>
    <w:rsid w:val="004B5838"/>
    <w:rsid w:val="004C5157"/>
    <w:rsid w:val="004D1E54"/>
    <w:rsid w:val="004D5A85"/>
    <w:rsid w:val="004E1701"/>
    <w:rsid w:val="004E1AE3"/>
    <w:rsid w:val="004E7273"/>
    <w:rsid w:val="004E73D8"/>
    <w:rsid w:val="004F27B2"/>
    <w:rsid w:val="004F3F79"/>
    <w:rsid w:val="0050006F"/>
    <w:rsid w:val="00515772"/>
    <w:rsid w:val="00522EDC"/>
    <w:rsid w:val="00525C90"/>
    <w:rsid w:val="0052766A"/>
    <w:rsid w:val="00536EA8"/>
    <w:rsid w:val="00547713"/>
    <w:rsid w:val="00547CAF"/>
    <w:rsid w:val="00575BF9"/>
    <w:rsid w:val="0057620B"/>
    <w:rsid w:val="00581890"/>
    <w:rsid w:val="00583ADA"/>
    <w:rsid w:val="00590B25"/>
    <w:rsid w:val="00590FD6"/>
    <w:rsid w:val="00596DDA"/>
    <w:rsid w:val="005A15D9"/>
    <w:rsid w:val="005A5E0A"/>
    <w:rsid w:val="005A7251"/>
    <w:rsid w:val="005B1C2C"/>
    <w:rsid w:val="005B1F63"/>
    <w:rsid w:val="005B3479"/>
    <w:rsid w:val="005B6AAA"/>
    <w:rsid w:val="005C2C18"/>
    <w:rsid w:val="005D2CFC"/>
    <w:rsid w:val="005E0D7D"/>
    <w:rsid w:val="005F3854"/>
    <w:rsid w:val="005F41C6"/>
    <w:rsid w:val="005F4F3C"/>
    <w:rsid w:val="005F5004"/>
    <w:rsid w:val="006033BC"/>
    <w:rsid w:val="006035DB"/>
    <w:rsid w:val="00610ED8"/>
    <w:rsid w:val="0061774A"/>
    <w:rsid w:val="00621B80"/>
    <w:rsid w:val="00623358"/>
    <w:rsid w:val="00623B43"/>
    <w:rsid w:val="006311C4"/>
    <w:rsid w:val="00632B78"/>
    <w:rsid w:val="00635196"/>
    <w:rsid w:val="006374F4"/>
    <w:rsid w:val="0064080E"/>
    <w:rsid w:val="0064299D"/>
    <w:rsid w:val="006443D3"/>
    <w:rsid w:val="00652AFE"/>
    <w:rsid w:val="00653A8D"/>
    <w:rsid w:val="00664294"/>
    <w:rsid w:val="006643D5"/>
    <w:rsid w:val="00666A30"/>
    <w:rsid w:val="00681D92"/>
    <w:rsid w:val="00681EE8"/>
    <w:rsid w:val="0068648E"/>
    <w:rsid w:val="0069347D"/>
    <w:rsid w:val="006948B7"/>
    <w:rsid w:val="00697389"/>
    <w:rsid w:val="0069763F"/>
    <w:rsid w:val="006A2C9F"/>
    <w:rsid w:val="006A30A5"/>
    <w:rsid w:val="006A30DB"/>
    <w:rsid w:val="006A7DAE"/>
    <w:rsid w:val="006C3167"/>
    <w:rsid w:val="006C5E6E"/>
    <w:rsid w:val="006E5A58"/>
    <w:rsid w:val="006F1B55"/>
    <w:rsid w:val="006F6118"/>
    <w:rsid w:val="007048F9"/>
    <w:rsid w:val="00705181"/>
    <w:rsid w:val="00720E99"/>
    <w:rsid w:val="00724719"/>
    <w:rsid w:val="0073108A"/>
    <w:rsid w:val="007369FC"/>
    <w:rsid w:val="00737111"/>
    <w:rsid w:val="00740855"/>
    <w:rsid w:val="00745EAC"/>
    <w:rsid w:val="0075741B"/>
    <w:rsid w:val="0076298E"/>
    <w:rsid w:val="0076404F"/>
    <w:rsid w:val="0079418D"/>
    <w:rsid w:val="007A1295"/>
    <w:rsid w:val="007A6905"/>
    <w:rsid w:val="007B512C"/>
    <w:rsid w:val="007C23BA"/>
    <w:rsid w:val="007C28C1"/>
    <w:rsid w:val="007C30AC"/>
    <w:rsid w:val="007C71DC"/>
    <w:rsid w:val="007C796F"/>
    <w:rsid w:val="007E1C50"/>
    <w:rsid w:val="007E36EA"/>
    <w:rsid w:val="007E67A0"/>
    <w:rsid w:val="007E72C1"/>
    <w:rsid w:val="007F7EA8"/>
    <w:rsid w:val="008007A1"/>
    <w:rsid w:val="00802B35"/>
    <w:rsid w:val="0080360E"/>
    <w:rsid w:val="00811DC3"/>
    <w:rsid w:val="00812D78"/>
    <w:rsid w:val="008160EC"/>
    <w:rsid w:val="008301ED"/>
    <w:rsid w:val="00835103"/>
    <w:rsid w:val="00836940"/>
    <w:rsid w:val="00837168"/>
    <w:rsid w:val="008403B1"/>
    <w:rsid w:val="008410D4"/>
    <w:rsid w:val="00841E54"/>
    <w:rsid w:val="008612BE"/>
    <w:rsid w:val="0087276A"/>
    <w:rsid w:val="00886EA4"/>
    <w:rsid w:val="00887DE4"/>
    <w:rsid w:val="00890324"/>
    <w:rsid w:val="0089727C"/>
    <w:rsid w:val="008A1F74"/>
    <w:rsid w:val="008A5D60"/>
    <w:rsid w:val="008A791F"/>
    <w:rsid w:val="008B3211"/>
    <w:rsid w:val="008B4599"/>
    <w:rsid w:val="008B755E"/>
    <w:rsid w:val="008B7BD5"/>
    <w:rsid w:val="008C1325"/>
    <w:rsid w:val="008C3E51"/>
    <w:rsid w:val="008E0ABD"/>
    <w:rsid w:val="008E6794"/>
    <w:rsid w:val="008F1262"/>
    <w:rsid w:val="0090208E"/>
    <w:rsid w:val="00905E90"/>
    <w:rsid w:val="00907F06"/>
    <w:rsid w:val="0091174D"/>
    <w:rsid w:val="00912A62"/>
    <w:rsid w:val="00915C0D"/>
    <w:rsid w:val="009244D7"/>
    <w:rsid w:val="00924F45"/>
    <w:rsid w:val="0092601B"/>
    <w:rsid w:val="00933F0A"/>
    <w:rsid w:val="009341C3"/>
    <w:rsid w:val="00935B80"/>
    <w:rsid w:val="00943D5D"/>
    <w:rsid w:val="00943F83"/>
    <w:rsid w:val="0094627C"/>
    <w:rsid w:val="009500E7"/>
    <w:rsid w:val="00952190"/>
    <w:rsid w:val="009564C3"/>
    <w:rsid w:val="00963E87"/>
    <w:rsid w:val="00976552"/>
    <w:rsid w:val="00983C73"/>
    <w:rsid w:val="0098422A"/>
    <w:rsid w:val="00984F71"/>
    <w:rsid w:val="00990724"/>
    <w:rsid w:val="0099519E"/>
    <w:rsid w:val="009A2B78"/>
    <w:rsid w:val="009A73CE"/>
    <w:rsid w:val="009D1CA4"/>
    <w:rsid w:val="009D30F2"/>
    <w:rsid w:val="009D3A88"/>
    <w:rsid w:val="009D44A1"/>
    <w:rsid w:val="009D7723"/>
    <w:rsid w:val="009F5EC6"/>
    <w:rsid w:val="009F6230"/>
    <w:rsid w:val="00A20B17"/>
    <w:rsid w:val="00A24E3B"/>
    <w:rsid w:val="00A30059"/>
    <w:rsid w:val="00A31EEC"/>
    <w:rsid w:val="00A35A32"/>
    <w:rsid w:val="00A36F8C"/>
    <w:rsid w:val="00A41FD4"/>
    <w:rsid w:val="00A4344E"/>
    <w:rsid w:val="00A635DE"/>
    <w:rsid w:val="00A671CA"/>
    <w:rsid w:val="00A70EAD"/>
    <w:rsid w:val="00A72A15"/>
    <w:rsid w:val="00A905D8"/>
    <w:rsid w:val="00A968E0"/>
    <w:rsid w:val="00AB0972"/>
    <w:rsid w:val="00AB68ED"/>
    <w:rsid w:val="00AB6A9E"/>
    <w:rsid w:val="00AB7626"/>
    <w:rsid w:val="00AC10EE"/>
    <w:rsid w:val="00AC299C"/>
    <w:rsid w:val="00AD1012"/>
    <w:rsid w:val="00AE34E1"/>
    <w:rsid w:val="00AF0ABC"/>
    <w:rsid w:val="00AF30CE"/>
    <w:rsid w:val="00AF3342"/>
    <w:rsid w:val="00AF61CF"/>
    <w:rsid w:val="00B01DE2"/>
    <w:rsid w:val="00B036A9"/>
    <w:rsid w:val="00B0465B"/>
    <w:rsid w:val="00B04AF3"/>
    <w:rsid w:val="00B15DD4"/>
    <w:rsid w:val="00B23313"/>
    <w:rsid w:val="00B263DA"/>
    <w:rsid w:val="00B300DC"/>
    <w:rsid w:val="00B30D5E"/>
    <w:rsid w:val="00B37F1B"/>
    <w:rsid w:val="00B4245A"/>
    <w:rsid w:val="00B51C22"/>
    <w:rsid w:val="00B57482"/>
    <w:rsid w:val="00B60620"/>
    <w:rsid w:val="00B63264"/>
    <w:rsid w:val="00B72F92"/>
    <w:rsid w:val="00B96FFB"/>
    <w:rsid w:val="00BA7343"/>
    <w:rsid w:val="00BB0E5E"/>
    <w:rsid w:val="00BB412F"/>
    <w:rsid w:val="00BC4A7D"/>
    <w:rsid w:val="00BC7A18"/>
    <w:rsid w:val="00BD3498"/>
    <w:rsid w:val="00BD3F32"/>
    <w:rsid w:val="00BE14A7"/>
    <w:rsid w:val="00BE728C"/>
    <w:rsid w:val="00BE7F3B"/>
    <w:rsid w:val="00BF2E02"/>
    <w:rsid w:val="00BF70FD"/>
    <w:rsid w:val="00C03576"/>
    <w:rsid w:val="00C05112"/>
    <w:rsid w:val="00C0517B"/>
    <w:rsid w:val="00C12B9E"/>
    <w:rsid w:val="00C214DE"/>
    <w:rsid w:val="00C23F20"/>
    <w:rsid w:val="00C24542"/>
    <w:rsid w:val="00C26C0F"/>
    <w:rsid w:val="00C30CC1"/>
    <w:rsid w:val="00C36A8A"/>
    <w:rsid w:val="00C37C97"/>
    <w:rsid w:val="00C413B0"/>
    <w:rsid w:val="00C46E8A"/>
    <w:rsid w:val="00C51307"/>
    <w:rsid w:val="00C541C5"/>
    <w:rsid w:val="00C60047"/>
    <w:rsid w:val="00C62FFF"/>
    <w:rsid w:val="00C70CE3"/>
    <w:rsid w:val="00C739EA"/>
    <w:rsid w:val="00C7566F"/>
    <w:rsid w:val="00C774B2"/>
    <w:rsid w:val="00C84FDB"/>
    <w:rsid w:val="00C92710"/>
    <w:rsid w:val="00C97C0B"/>
    <w:rsid w:val="00CA3080"/>
    <w:rsid w:val="00CA38AA"/>
    <w:rsid w:val="00CA4B20"/>
    <w:rsid w:val="00CC1E72"/>
    <w:rsid w:val="00CE64A7"/>
    <w:rsid w:val="00CE67BF"/>
    <w:rsid w:val="00CE78B1"/>
    <w:rsid w:val="00CF254B"/>
    <w:rsid w:val="00CF3E34"/>
    <w:rsid w:val="00CF5ACC"/>
    <w:rsid w:val="00CF7229"/>
    <w:rsid w:val="00D14769"/>
    <w:rsid w:val="00D2343C"/>
    <w:rsid w:val="00D23F11"/>
    <w:rsid w:val="00D31F7E"/>
    <w:rsid w:val="00D35E79"/>
    <w:rsid w:val="00D4427F"/>
    <w:rsid w:val="00D446EC"/>
    <w:rsid w:val="00D47FBB"/>
    <w:rsid w:val="00D561F1"/>
    <w:rsid w:val="00D60DDB"/>
    <w:rsid w:val="00D70210"/>
    <w:rsid w:val="00D75F87"/>
    <w:rsid w:val="00D84C12"/>
    <w:rsid w:val="00D903CB"/>
    <w:rsid w:val="00D96AB8"/>
    <w:rsid w:val="00DA383C"/>
    <w:rsid w:val="00DB2573"/>
    <w:rsid w:val="00DB4F11"/>
    <w:rsid w:val="00DC7BB5"/>
    <w:rsid w:val="00DD025F"/>
    <w:rsid w:val="00DD1201"/>
    <w:rsid w:val="00DE4CC7"/>
    <w:rsid w:val="00DE73B7"/>
    <w:rsid w:val="00DE797A"/>
    <w:rsid w:val="00DF1DE5"/>
    <w:rsid w:val="00E0447E"/>
    <w:rsid w:val="00E13A77"/>
    <w:rsid w:val="00E211E3"/>
    <w:rsid w:val="00E25AF0"/>
    <w:rsid w:val="00E3121C"/>
    <w:rsid w:val="00E3680F"/>
    <w:rsid w:val="00E45B3C"/>
    <w:rsid w:val="00E5288B"/>
    <w:rsid w:val="00E54A4F"/>
    <w:rsid w:val="00E54E29"/>
    <w:rsid w:val="00E56FE1"/>
    <w:rsid w:val="00E6041B"/>
    <w:rsid w:val="00E609F5"/>
    <w:rsid w:val="00E64228"/>
    <w:rsid w:val="00E72739"/>
    <w:rsid w:val="00E74C7B"/>
    <w:rsid w:val="00E75EF9"/>
    <w:rsid w:val="00E84823"/>
    <w:rsid w:val="00E861BA"/>
    <w:rsid w:val="00E86931"/>
    <w:rsid w:val="00E93D8A"/>
    <w:rsid w:val="00E95829"/>
    <w:rsid w:val="00EA6D4C"/>
    <w:rsid w:val="00EB2286"/>
    <w:rsid w:val="00EC04BC"/>
    <w:rsid w:val="00EC6B1D"/>
    <w:rsid w:val="00ED0B21"/>
    <w:rsid w:val="00ED5737"/>
    <w:rsid w:val="00EE20F0"/>
    <w:rsid w:val="00EE73ED"/>
    <w:rsid w:val="00EF15C3"/>
    <w:rsid w:val="00EF2301"/>
    <w:rsid w:val="00EF45D8"/>
    <w:rsid w:val="00F03471"/>
    <w:rsid w:val="00F04117"/>
    <w:rsid w:val="00F062EE"/>
    <w:rsid w:val="00F07CB6"/>
    <w:rsid w:val="00F20599"/>
    <w:rsid w:val="00F221BA"/>
    <w:rsid w:val="00F22CB9"/>
    <w:rsid w:val="00F269B7"/>
    <w:rsid w:val="00F27F55"/>
    <w:rsid w:val="00F3047B"/>
    <w:rsid w:val="00F30AAF"/>
    <w:rsid w:val="00F349BF"/>
    <w:rsid w:val="00F3504B"/>
    <w:rsid w:val="00F40E47"/>
    <w:rsid w:val="00F42ACD"/>
    <w:rsid w:val="00F50F8D"/>
    <w:rsid w:val="00F5106B"/>
    <w:rsid w:val="00F7525F"/>
    <w:rsid w:val="00F85B35"/>
    <w:rsid w:val="00F85D16"/>
    <w:rsid w:val="00F91B72"/>
    <w:rsid w:val="00F939B5"/>
    <w:rsid w:val="00FA2C2C"/>
    <w:rsid w:val="00FA2D11"/>
    <w:rsid w:val="00FB2F10"/>
    <w:rsid w:val="00FB3F4D"/>
    <w:rsid w:val="00FC0ACD"/>
    <w:rsid w:val="00FC7E55"/>
    <w:rsid w:val="00FD17F0"/>
    <w:rsid w:val="00FD2102"/>
    <w:rsid w:val="00FE0673"/>
    <w:rsid w:val="00FE1771"/>
    <w:rsid w:val="00FE178E"/>
    <w:rsid w:val="00FE2D9B"/>
    <w:rsid w:val="00FE4A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CC537"/>
  <w15:docId w15:val="{EE7F5D67-B278-4462-BB77-66892B5F3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E3"/>
    <w:rPr>
      <w:rFonts w:ascii="Times New Roman" w:eastAsia="Times New Roman" w:hAnsi="Times New Roman"/>
      <w:sz w:val="24"/>
      <w:szCs w:val="24"/>
    </w:rPr>
  </w:style>
  <w:style w:type="paragraph" w:styleId="Heading1">
    <w:name w:val="heading 1"/>
    <w:basedOn w:val="Normal"/>
    <w:link w:val="Heading1Char"/>
    <w:uiPriority w:val="99"/>
    <w:qFormat/>
    <w:rsid w:val="00DB2573"/>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
    <w:unhideWhenUsed/>
    <w:qFormat/>
    <w:rsid w:val="00AB68E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AB68ED"/>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E1AE3"/>
    <w:rPr>
      <w:color w:val="0000FF"/>
      <w:u w:val="single"/>
    </w:rPr>
  </w:style>
  <w:style w:type="paragraph" w:styleId="NormalWeb">
    <w:name w:val="Normal (Web)"/>
    <w:aliases w:val=" Char, Char Char"/>
    <w:basedOn w:val="Normal"/>
    <w:link w:val="NormalWebChar"/>
    <w:qFormat/>
    <w:rsid w:val="004E1AE3"/>
    <w:pPr>
      <w:spacing w:before="100" w:beforeAutospacing="1" w:after="100" w:afterAutospacing="1"/>
    </w:pPr>
  </w:style>
  <w:style w:type="character" w:customStyle="1" w:styleId="NormalWebChar">
    <w:name w:val="Normal (Web) Char"/>
    <w:aliases w:val=" Char Char1, Char Char Char"/>
    <w:link w:val="NormalWeb"/>
    <w:rsid w:val="004E1AE3"/>
    <w:rPr>
      <w:rFonts w:ascii="Times New Roman" w:eastAsia="Times New Roman" w:hAnsi="Times New Roman" w:cs="Times New Roman"/>
      <w:sz w:val="24"/>
      <w:szCs w:val="24"/>
    </w:rPr>
  </w:style>
  <w:style w:type="paragraph" w:styleId="Header">
    <w:name w:val="header"/>
    <w:basedOn w:val="Normal"/>
    <w:link w:val="HeaderChar"/>
    <w:rsid w:val="004E1AE3"/>
    <w:pPr>
      <w:tabs>
        <w:tab w:val="center" w:pos="4320"/>
        <w:tab w:val="right" w:pos="8640"/>
      </w:tabs>
    </w:pPr>
  </w:style>
  <w:style w:type="character" w:customStyle="1" w:styleId="HeaderChar">
    <w:name w:val="Header Char"/>
    <w:link w:val="Header"/>
    <w:rsid w:val="004E1AE3"/>
    <w:rPr>
      <w:rFonts w:ascii="Times New Roman" w:eastAsia="Times New Roman" w:hAnsi="Times New Roman" w:cs="Times New Roman"/>
      <w:sz w:val="24"/>
      <w:szCs w:val="24"/>
    </w:rPr>
  </w:style>
  <w:style w:type="character" w:styleId="PageNumber">
    <w:name w:val="page number"/>
    <w:basedOn w:val="DefaultParagraphFont"/>
    <w:rsid w:val="004E1AE3"/>
  </w:style>
  <w:style w:type="paragraph" w:styleId="Footer">
    <w:name w:val="footer"/>
    <w:basedOn w:val="Normal"/>
    <w:link w:val="FooterChar"/>
    <w:rsid w:val="004E1AE3"/>
    <w:pPr>
      <w:tabs>
        <w:tab w:val="center" w:pos="4320"/>
        <w:tab w:val="right" w:pos="8640"/>
      </w:tabs>
    </w:pPr>
  </w:style>
  <w:style w:type="character" w:customStyle="1" w:styleId="FooterChar">
    <w:name w:val="Footer Char"/>
    <w:link w:val="Footer"/>
    <w:rsid w:val="004E1A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1AE3"/>
    <w:rPr>
      <w:rFonts w:ascii="Tahoma" w:hAnsi="Tahoma" w:cs="Tahoma"/>
      <w:sz w:val="16"/>
      <w:szCs w:val="16"/>
    </w:rPr>
  </w:style>
  <w:style w:type="character" w:customStyle="1" w:styleId="BalloonTextChar">
    <w:name w:val="Balloon Text Char"/>
    <w:link w:val="BalloonText"/>
    <w:uiPriority w:val="99"/>
    <w:semiHidden/>
    <w:rsid w:val="004E1AE3"/>
    <w:rPr>
      <w:rFonts w:ascii="Tahoma" w:eastAsia="Times New Roman" w:hAnsi="Tahoma" w:cs="Tahoma"/>
      <w:sz w:val="16"/>
      <w:szCs w:val="16"/>
    </w:rPr>
  </w:style>
  <w:style w:type="table" w:styleId="TableGrid">
    <w:name w:val="Table Grid"/>
    <w:basedOn w:val="TableNormal"/>
    <w:qFormat/>
    <w:rsid w:val="006642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B2573"/>
    <w:pPr>
      <w:spacing w:after="200" w:line="276" w:lineRule="auto"/>
      <w:ind w:left="720"/>
    </w:pPr>
    <w:rPr>
      <w:rFonts w:ascii="Calibri" w:eastAsia="Calibri" w:hAnsi="Calibri" w:cs="Calibri"/>
      <w:sz w:val="22"/>
      <w:szCs w:val="22"/>
    </w:rPr>
  </w:style>
  <w:style w:type="paragraph" w:styleId="NoSpacing">
    <w:name w:val="No Spacing"/>
    <w:uiPriority w:val="99"/>
    <w:qFormat/>
    <w:rsid w:val="00DB2573"/>
    <w:rPr>
      <w:rFonts w:eastAsia="Times New Roman" w:cs="Calibri"/>
      <w:sz w:val="22"/>
      <w:szCs w:val="22"/>
    </w:rPr>
  </w:style>
  <w:style w:type="paragraph" w:styleId="Title">
    <w:name w:val="Title"/>
    <w:basedOn w:val="Normal"/>
    <w:link w:val="TitleChar"/>
    <w:uiPriority w:val="99"/>
    <w:qFormat/>
    <w:rsid w:val="00DB2573"/>
    <w:pPr>
      <w:spacing w:line="396" w:lineRule="auto"/>
      <w:jc w:val="center"/>
    </w:pPr>
    <w:rPr>
      <w:rFonts w:eastAsia="Calibri"/>
      <w:b/>
      <w:bCs/>
      <w:spacing w:val="27"/>
    </w:rPr>
  </w:style>
  <w:style w:type="character" w:customStyle="1" w:styleId="TitleChar">
    <w:name w:val="Title Char"/>
    <w:link w:val="Title"/>
    <w:uiPriority w:val="99"/>
    <w:rsid w:val="00DB2573"/>
    <w:rPr>
      <w:rFonts w:ascii="Times New Roman" w:eastAsia="Calibri" w:hAnsi="Times New Roman" w:cs="Times New Roman"/>
      <w:b/>
      <w:bCs/>
      <w:spacing w:val="27"/>
      <w:sz w:val="24"/>
      <w:szCs w:val="24"/>
    </w:rPr>
  </w:style>
  <w:style w:type="character" w:styleId="HTMLCite">
    <w:name w:val="HTML Cite"/>
    <w:uiPriority w:val="99"/>
    <w:rsid w:val="00DB2573"/>
    <w:rPr>
      <w:i/>
      <w:iCs/>
    </w:rPr>
  </w:style>
  <w:style w:type="character" w:customStyle="1" w:styleId="author">
    <w:name w:val="author"/>
    <w:basedOn w:val="DefaultParagraphFont"/>
    <w:uiPriority w:val="99"/>
    <w:rsid w:val="00DB2573"/>
  </w:style>
  <w:style w:type="character" w:customStyle="1" w:styleId="Heading1Char">
    <w:name w:val="Heading 1 Char"/>
    <w:link w:val="Heading1"/>
    <w:uiPriority w:val="99"/>
    <w:rsid w:val="00DB2573"/>
    <w:rPr>
      <w:rFonts w:ascii="Times New Roman" w:eastAsia="Calibri" w:hAnsi="Times New Roman" w:cs="Times New Roman"/>
      <w:b/>
      <w:bCs/>
      <w:kern w:val="36"/>
      <w:sz w:val="48"/>
      <w:szCs w:val="48"/>
    </w:rPr>
  </w:style>
  <w:style w:type="character" w:customStyle="1" w:styleId="articletitle">
    <w:name w:val="articletitle"/>
    <w:basedOn w:val="DefaultParagraphFont"/>
    <w:uiPriority w:val="99"/>
    <w:rsid w:val="00DB2573"/>
  </w:style>
  <w:style w:type="character" w:customStyle="1" w:styleId="journaltitle3">
    <w:name w:val="journaltitle3"/>
    <w:uiPriority w:val="99"/>
    <w:rsid w:val="00DB2573"/>
    <w:rPr>
      <w:i/>
      <w:iCs/>
    </w:rPr>
  </w:style>
  <w:style w:type="character" w:customStyle="1" w:styleId="vol3">
    <w:name w:val="vol3"/>
    <w:uiPriority w:val="99"/>
    <w:rsid w:val="00DB2573"/>
    <w:rPr>
      <w:b/>
      <w:bCs/>
    </w:rPr>
  </w:style>
  <w:style w:type="character" w:customStyle="1" w:styleId="pagefirst">
    <w:name w:val="pagefirst"/>
    <w:basedOn w:val="DefaultParagraphFont"/>
    <w:uiPriority w:val="99"/>
    <w:rsid w:val="00DB2573"/>
  </w:style>
  <w:style w:type="character" w:customStyle="1" w:styleId="pagelast">
    <w:name w:val="pagelast"/>
    <w:basedOn w:val="DefaultParagraphFont"/>
    <w:uiPriority w:val="99"/>
    <w:rsid w:val="00DB2573"/>
  </w:style>
  <w:style w:type="character" w:customStyle="1" w:styleId="maintitle">
    <w:name w:val="maintitle"/>
    <w:basedOn w:val="DefaultParagraphFont"/>
    <w:uiPriority w:val="99"/>
    <w:rsid w:val="00DB2573"/>
  </w:style>
  <w:style w:type="character" w:customStyle="1" w:styleId="apple-converted-space">
    <w:name w:val="apple-converted-space"/>
    <w:basedOn w:val="DefaultParagraphFont"/>
    <w:rsid w:val="00DB2573"/>
  </w:style>
  <w:style w:type="character" w:customStyle="1" w:styleId="highlight">
    <w:name w:val="highlight"/>
    <w:basedOn w:val="DefaultParagraphFont"/>
    <w:rsid w:val="00DB2573"/>
  </w:style>
  <w:style w:type="paragraph" w:styleId="PlainText">
    <w:name w:val="Plain Text"/>
    <w:basedOn w:val="Normal"/>
    <w:link w:val="PlainTextChar"/>
    <w:uiPriority w:val="99"/>
    <w:rsid w:val="008A1F74"/>
    <w:rPr>
      <w:rFonts w:ascii="Courier New" w:eastAsia="Calibri" w:hAnsi="Courier New"/>
      <w:sz w:val="20"/>
      <w:szCs w:val="20"/>
    </w:rPr>
  </w:style>
  <w:style w:type="character" w:customStyle="1" w:styleId="PlainTextChar">
    <w:name w:val="Plain Text Char"/>
    <w:link w:val="PlainText"/>
    <w:uiPriority w:val="99"/>
    <w:rsid w:val="008A1F74"/>
    <w:rPr>
      <w:rFonts w:ascii="Courier New" w:eastAsia="Calibri" w:hAnsi="Courier New" w:cs="Times New Roman"/>
      <w:sz w:val="20"/>
      <w:szCs w:val="20"/>
    </w:rPr>
  </w:style>
  <w:style w:type="character" w:customStyle="1" w:styleId="3zw1">
    <w:name w:val="3zw1"/>
    <w:rsid w:val="008A791F"/>
    <w:rPr>
      <w:color w:val="000000"/>
      <w:sz w:val="21"/>
      <w:szCs w:val="21"/>
    </w:rPr>
  </w:style>
  <w:style w:type="paragraph" w:customStyle="1" w:styleId="c4">
    <w:name w:val="c4"/>
    <w:basedOn w:val="Normal"/>
    <w:uiPriority w:val="99"/>
    <w:rsid w:val="00235088"/>
    <w:pPr>
      <w:spacing w:before="100" w:beforeAutospacing="1" w:after="100" w:afterAutospacing="1"/>
    </w:pPr>
  </w:style>
  <w:style w:type="character" w:styleId="Emphasis">
    <w:name w:val="Emphasis"/>
    <w:uiPriority w:val="20"/>
    <w:qFormat/>
    <w:rsid w:val="00235088"/>
    <w:rPr>
      <w:i/>
      <w:iCs/>
    </w:rPr>
  </w:style>
  <w:style w:type="character" w:styleId="FootnoteReference">
    <w:name w:val="footnote reference"/>
    <w:rsid w:val="000A5DEC"/>
    <w:rPr>
      <w:vertAlign w:val="superscript"/>
    </w:rPr>
  </w:style>
  <w:style w:type="character" w:customStyle="1" w:styleId="hps">
    <w:name w:val="hps"/>
    <w:rsid w:val="00812D78"/>
  </w:style>
  <w:style w:type="paragraph" w:customStyle="1" w:styleId="ordinary-output">
    <w:name w:val="ordinary-output"/>
    <w:basedOn w:val="Normal"/>
    <w:rsid w:val="00812D78"/>
    <w:pPr>
      <w:spacing w:before="100" w:beforeAutospacing="1" w:after="75" w:line="330" w:lineRule="atLeast"/>
    </w:pPr>
    <w:rPr>
      <w:rFonts w:ascii="SimSun" w:eastAsia="SimSun" w:hAnsi="SimSun" w:cs="SimSun"/>
      <w:color w:val="333333"/>
      <w:sz w:val="27"/>
      <w:szCs w:val="27"/>
      <w:lang w:eastAsia="zh-CN"/>
    </w:rPr>
  </w:style>
  <w:style w:type="paragraph" w:styleId="Subtitle">
    <w:name w:val="Subtitle"/>
    <w:basedOn w:val="Normal"/>
    <w:next w:val="Normal"/>
    <w:link w:val="SubtitleChar"/>
    <w:uiPriority w:val="11"/>
    <w:qFormat/>
    <w:rsid w:val="000F575E"/>
    <w:pPr>
      <w:spacing w:after="60"/>
      <w:jc w:val="center"/>
      <w:outlineLvl w:val="1"/>
    </w:pPr>
    <w:rPr>
      <w:rFonts w:ascii="Calibri Light" w:hAnsi="Calibri Light"/>
    </w:rPr>
  </w:style>
  <w:style w:type="character" w:customStyle="1" w:styleId="SubtitleChar">
    <w:name w:val="Subtitle Char"/>
    <w:link w:val="Subtitle"/>
    <w:uiPriority w:val="11"/>
    <w:rsid w:val="000F575E"/>
    <w:rPr>
      <w:rFonts w:ascii="Calibri Light" w:eastAsia="Times New Roman" w:hAnsi="Calibri Light" w:cs="Times New Roman"/>
      <w:sz w:val="24"/>
      <w:szCs w:val="24"/>
    </w:rPr>
  </w:style>
  <w:style w:type="paragraph" w:styleId="Caption">
    <w:name w:val="caption"/>
    <w:basedOn w:val="Normal"/>
    <w:next w:val="Normal"/>
    <w:unhideWhenUsed/>
    <w:qFormat/>
    <w:rsid w:val="006033BC"/>
    <w:pPr>
      <w:spacing w:after="200"/>
    </w:pPr>
    <w:rPr>
      <w:rFonts w:ascii="Calibri" w:eastAsia="Calibri" w:hAnsi="Calibri"/>
      <w:i/>
      <w:iCs/>
      <w:color w:val="44546A"/>
      <w:sz w:val="18"/>
      <w:szCs w:val="18"/>
      <w:lang w:val="en-GB"/>
    </w:rPr>
  </w:style>
  <w:style w:type="paragraph" w:customStyle="1" w:styleId="EndNoteBibliography">
    <w:name w:val="EndNote Bibliography"/>
    <w:basedOn w:val="Normal"/>
    <w:link w:val="EndNoteBibliographyChar"/>
    <w:qFormat/>
    <w:rsid w:val="006033BC"/>
    <w:pPr>
      <w:spacing w:after="160"/>
    </w:pPr>
    <w:rPr>
      <w:rFonts w:ascii="Calibri" w:eastAsia="DengXian" w:hAnsi="Calibri" w:cs="Calibri"/>
      <w:kern w:val="2"/>
      <w:sz w:val="22"/>
      <w:szCs w:val="22"/>
    </w:rPr>
  </w:style>
  <w:style w:type="character" w:customStyle="1" w:styleId="EndNoteBibliographyChar">
    <w:name w:val="EndNote Bibliography Char"/>
    <w:link w:val="EndNoteBibliography"/>
    <w:qFormat/>
    <w:rsid w:val="006033BC"/>
    <w:rPr>
      <w:rFonts w:eastAsia="DengXian" w:cs="Calibri"/>
      <w:kern w:val="2"/>
      <w:sz w:val="22"/>
      <w:szCs w:val="22"/>
    </w:rPr>
  </w:style>
  <w:style w:type="character" w:customStyle="1" w:styleId="VerbatimChar">
    <w:name w:val="Verbatim Char"/>
    <w:link w:val="SourceCode"/>
    <w:locked/>
    <w:rsid w:val="00F40E47"/>
    <w:rPr>
      <w:rFonts w:ascii="Consolas" w:hAnsi="Consolas"/>
      <w:shd w:val="clear" w:color="auto" w:fill="F8F8F8"/>
    </w:rPr>
  </w:style>
  <w:style w:type="paragraph" w:customStyle="1" w:styleId="SourceCode">
    <w:name w:val="Source Code"/>
    <w:basedOn w:val="Normal"/>
    <w:link w:val="VerbatimChar"/>
    <w:rsid w:val="00F40E47"/>
    <w:pPr>
      <w:shd w:val="clear" w:color="auto" w:fill="F8F8F8"/>
      <w:wordWrap w:val="0"/>
      <w:spacing w:after="200"/>
    </w:pPr>
    <w:rPr>
      <w:rFonts w:ascii="Consolas" w:eastAsia="Calibri" w:hAnsi="Consolas"/>
      <w:sz w:val="20"/>
      <w:szCs w:val="20"/>
    </w:rPr>
  </w:style>
  <w:style w:type="paragraph" w:customStyle="1" w:styleId="Default">
    <w:name w:val="Default"/>
    <w:uiPriority w:val="99"/>
    <w:rsid w:val="00F40E47"/>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uiPriority w:val="39"/>
    <w:rsid w:val="00E54E29"/>
    <w:rPr>
      <w:rFonts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ydp1e2720efyiv6592615979ydp65b58024msonormal">
    <w:name w:val="v1ydp1e2720efyiv6592615979ydp65b58024msonormal"/>
    <w:basedOn w:val="Normal"/>
    <w:rsid w:val="002203C4"/>
    <w:pPr>
      <w:spacing w:before="100" w:beforeAutospacing="1" w:after="100" w:afterAutospacing="1"/>
    </w:pPr>
  </w:style>
  <w:style w:type="character" w:customStyle="1" w:styleId="Heading2Char">
    <w:name w:val="Heading 2 Char"/>
    <w:link w:val="Heading2"/>
    <w:uiPriority w:val="9"/>
    <w:rsid w:val="00AB68ED"/>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AB68ED"/>
    <w:rPr>
      <w:rFonts w:ascii="Calibri Light" w:eastAsia="Times New Roman" w:hAnsi="Calibri Light" w:cs="Times New Roman"/>
      <w:b/>
      <w:bCs/>
      <w:sz w:val="26"/>
      <w:szCs w:val="26"/>
    </w:rPr>
  </w:style>
  <w:style w:type="character" w:styleId="CommentReference">
    <w:name w:val="annotation reference"/>
    <w:qFormat/>
    <w:rsid w:val="00BE728C"/>
    <w:rPr>
      <w:sz w:val="16"/>
      <w:szCs w:val="16"/>
    </w:rPr>
  </w:style>
  <w:style w:type="paragraph" w:customStyle="1" w:styleId="MDPI31text">
    <w:name w:val="MDPI_3.1_text"/>
    <w:link w:val="MDPI31text0"/>
    <w:rsid w:val="000A57F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character" w:customStyle="1" w:styleId="MDPI31text0">
    <w:name w:val="MDPI_3.1_text 字符"/>
    <w:basedOn w:val="DefaultParagraphFont"/>
    <w:link w:val="MDPI31text"/>
    <w:rsid w:val="000A57FA"/>
    <w:rPr>
      <w:rFonts w:ascii="Palatino Linotype" w:eastAsia="Times New Roman" w:hAnsi="Palatino Linotype"/>
      <w:snapToGrid w:val="0"/>
      <w:color w:val="000000"/>
      <w:szCs w:val="22"/>
      <w:lang w:eastAsia="de-DE" w:bidi="en-US"/>
    </w:rPr>
  </w:style>
  <w:style w:type="paragraph" w:customStyle="1" w:styleId="MDPI62BackMatter">
    <w:name w:val="MDPI_6.2_BackMatter"/>
    <w:rsid w:val="000A57FA"/>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character" w:customStyle="1" w:styleId="EndNoteBibliography0">
    <w:name w:val="EndNote Bibliography 字符"/>
    <w:basedOn w:val="MDPI31text0"/>
    <w:rsid w:val="000A57FA"/>
    <w:rPr>
      <w:rFonts w:ascii="Palatino Linotype" w:eastAsia="Times New Roman" w:hAnsi="Palatino Linotype"/>
      <w:noProof/>
      <w:snapToGrid/>
      <w:color w:val="000000"/>
      <w:sz w:val="18"/>
      <w:szCs w:val="22"/>
      <w:lang w:eastAsia="de-DE" w:bidi="en-US"/>
    </w:rPr>
  </w:style>
  <w:style w:type="character" w:styleId="LineNumber">
    <w:name w:val="line number"/>
    <w:basedOn w:val="DefaultParagraphFont"/>
    <w:uiPriority w:val="99"/>
    <w:semiHidden/>
    <w:unhideWhenUsed/>
    <w:rsid w:val="002E425F"/>
  </w:style>
  <w:style w:type="character" w:styleId="Strong">
    <w:name w:val="Strong"/>
    <w:basedOn w:val="DefaultParagraphFont"/>
    <w:qFormat/>
    <w:rsid w:val="006A7DAE"/>
    <w:rPr>
      <w:b/>
    </w:rPr>
  </w:style>
  <w:style w:type="character" w:customStyle="1" w:styleId="font21">
    <w:name w:val="font21"/>
    <w:basedOn w:val="DefaultParagraphFont"/>
    <w:qFormat/>
    <w:rsid w:val="0033316B"/>
    <w:rPr>
      <w:rFonts w:ascii="SimSun" w:eastAsia="SimSun" w:hAnsi="SimSun" w:cs="SimSun" w:hint="eastAsia"/>
      <w:b/>
      <w:bCs/>
      <w:color w:val="000000"/>
      <w:sz w:val="24"/>
      <w:szCs w:val="24"/>
      <w:u w:val="none"/>
    </w:rPr>
  </w:style>
  <w:style w:type="character" w:customStyle="1" w:styleId="font11">
    <w:name w:val="font11"/>
    <w:basedOn w:val="DefaultParagraphFont"/>
    <w:qFormat/>
    <w:rsid w:val="0033316B"/>
    <w:rPr>
      <w:rFonts w:ascii="Times New Roman" w:hAnsi="Times New Roman" w:cs="Times New Roman" w:hint="default"/>
      <w:b/>
      <w:bCs/>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22351">
      <w:bodyDiv w:val="1"/>
      <w:marLeft w:val="0"/>
      <w:marRight w:val="0"/>
      <w:marTop w:val="0"/>
      <w:marBottom w:val="0"/>
      <w:divBdr>
        <w:top w:val="none" w:sz="0" w:space="0" w:color="auto"/>
        <w:left w:val="none" w:sz="0" w:space="0" w:color="auto"/>
        <w:bottom w:val="none" w:sz="0" w:space="0" w:color="auto"/>
        <w:right w:val="none" w:sz="0" w:space="0" w:color="auto"/>
      </w:divBdr>
    </w:div>
    <w:div w:id="164053187">
      <w:bodyDiv w:val="1"/>
      <w:marLeft w:val="0"/>
      <w:marRight w:val="0"/>
      <w:marTop w:val="0"/>
      <w:marBottom w:val="0"/>
      <w:divBdr>
        <w:top w:val="none" w:sz="0" w:space="0" w:color="auto"/>
        <w:left w:val="none" w:sz="0" w:space="0" w:color="auto"/>
        <w:bottom w:val="none" w:sz="0" w:space="0" w:color="auto"/>
        <w:right w:val="none" w:sz="0" w:space="0" w:color="auto"/>
      </w:divBdr>
    </w:div>
    <w:div w:id="251351950">
      <w:bodyDiv w:val="1"/>
      <w:marLeft w:val="0"/>
      <w:marRight w:val="0"/>
      <w:marTop w:val="0"/>
      <w:marBottom w:val="0"/>
      <w:divBdr>
        <w:top w:val="none" w:sz="0" w:space="0" w:color="auto"/>
        <w:left w:val="none" w:sz="0" w:space="0" w:color="auto"/>
        <w:bottom w:val="none" w:sz="0" w:space="0" w:color="auto"/>
        <w:right w:val="none" w:sz="0" w:space="0" w:color="auto"/>
      </w:divBdr>
    </w:div>
    <w:div w:id="345599459">
      <w:bodyDiv w:val="1"/>
      <w:marLeft w:val="0"/>
      <w:marRight w:val="0"/>
      <w:marTop w:val="0"/>
      <w:marBottom w:val="0"/>
      <w:divBdr>
        <w:top w:val="none" w:sz="0" w:space="0" w:color="auto"/>
        <w:left w:val="none" w:sz="0" w:space="0" w:color="auto"/>
        <w:bottom w:val="none" w:sz="0" w:space="0" w:color="auto"/>
        <w:right w:val="none" w:sz="0" w:space="0" w:color="auto"/>
      </w:divBdr>
    </w:div>
    <w:div w:id="375785366">
      <w:bodyDiv w:val="1"/>
      <w:marLeft w:val="0"/>
      <w:marRight w:val="0"/>
      <w:marTop w:val="0"/>
      <w:marBottom w:val="0"/>
      <w:divBdr>
        <w:top w:val="none" w:sz="0" w:space="0" w:color="auto"/>
        <w:left w:val="none" w:sz="0" w:space="0" w:color="auto"/>
        <w:bottom w:val="none" w:sz="0" w:space="0" w:color="auto"/>
        <w:right w:val="none" w:sz="0" w:space="0" w:color="auto"/>
      </w:divBdr>
    </w:div>
    <w:div w:id="422379676">
      <w:bodyDiv w:val="1"/>
      <w:marLeft w:val="0"/>
      <w:marRight w:val="0"/>
      <w:marTop w:val="0"/>
      <w:marBottom w:val="0"/>
      <w:divBdr>
        <w:top w:val="none" w:sz="0" w:space="0" w:color="auto"/>
        <w:left w:val="none" w:sz="0" w:space="0" w:color="auto"/>
        <w:bottom w:val="none" w:sz="0" w:space="0" w:color="auto"/>
        <w:right w:val="none" w:sz="0" w:space="0" w:color="auto"/>
      </w:divBdr>
    </w:div>
    <w:div w:id="481195159">
      <w:bodyDiv w:val="1"/>
      <w:marLeft w:val="0"/>
      <w:marRight w:val="0"/>
      <w:marTop w:val="0"/>
      <w:marBottom w:val="0"/>
      <w:divBdr>
        <w:top w:val="none" w:sz="0" w:space="0" w:color="auto"/>
        <w:left w:val="none" w:sz="0" w:space="0" w:color="auto"/>
        <w:bottom w:val="none" w:sz="0" w:space="0" w:color="auto"/>
        <w:right w:val="none" w:sz="0" w:space="0" w:color="auto"/>
      </w:divBdr>
    </w:div>
    <w:div w:id="527452827">
      <w:bodyDiv w:val="1"/>
      <w:marLeft w:val="0"/>
      <w:marRight w:val="0"/>
      <w:marTop w:val="0"/>
      <w:marBottom w:val="0"/>
      <w:divBdr>
        <w:top w:val="none" w:sz="0" w:space="0" w:color="auto"/>
        <w:left w:val="none" w:sz="0" w:space="0" w:color="auto"/>
        <w:bottom w:val="none" w:sz="0" w:space="0" w:color="auto"/>
        <w:right w:val="none" w:sz="0" w:space="0" w:color="auto"/>
      </w:divBdr>
    </w:div>
    <w:div w:id="760178019">
      <w:bodyDiv w:val="1"/>
      <w:marLeft w:val="0"/>
      <w:marRight w:val="0"/>
      <w:marTop w:val="0"/>
      <w:marBottom w:val="0"/>
      <w:divBdr>
        <w:top w:val="none" w:sz="0" w:space="0" w:color="auto"/>
        <w:left w:val="none" w:sz="0" w:space="0" w:color="auto"/>
        <w:bottom w:val="none" w:sz="0" w:space="0" w:color="auto"/>
        <w:right w:val="none" w:sz="0" w:space="0" w:color="auto"/>
      </w:divBdr>
    </w:div>
    <w:div w:id="793670986">
      <w:bodyDiv w:val="1"/>
      <w:marLeft w:val="0"/>
      <w:marRight w:val="0"/>
      <w:marTop w:val="0"/>
      <w:marBottom w:val="0"/>
      <w:divBdr>
        <w:top w:val="none" w:sz="0" w:space="0" w:color="auto"/>
        <w:left w:val="none" w:sz="0" w:space="0" w:color="auto"/>
        <w:bottom w:val="none" w:sz="0" w:space="0" w:color="auto"/>
        <w:right w:val="none" w:sz="0" w:space="0" w:color="auto"/>
      </w:divBdr>
    </w:div>
    <w:div w:id="905535062">
      <w:bodyDiv w:val="1"/>
      <w:marLeft w:val="0"/>
      <w:marRight w:val="0"/>
      <w:marTop w:val="0"/>
      <w:marBottom w:val="0"/>
      <w:divBdr>
        <w:top w:val="none" w:sz="0" w:space="0" w:color="auto"/>
        <w:left w:val="none" w:sz="0" w:space="0" w:color="auto"/>
        <w:bottom w:val="none" w:sz="0" w:space="0" w:color="auto"/>
        <w:right w:val="none" w:sz="0" w:space="0" w:color="auto"/>
      </w:divBdr>
    </w:div>
    <w:div w:id="979649036">
      <w:bodyDiv w:val="1"/>
      <w:marLeft w:val="0"/>
      <w:marRight w:val="0"/>
      <w:marTop w:val="0"/>
      <w:marBottom w:val="0"/>
      <w:divBdr>
        <w:top w:val="none" w:sz="0" w:space="0" w:color="auto"/>
        <w:left w:val="none" w:sz="0" w:space="0" w:color="auto"/>
        <w:bottom w:val="none" w:sz="0" w:space="0" w:color="auto"/>
        <w:right w:val="none" w:sz="0" w:space="0" w:color="auto"/>
      </w:divBdr>
    </w:div>
    <w:div w:id="1036545979">
      <w:bodyDiv w:val="1"/>
      <w:marLeft w:val="0"/>
      <w:marRight w:val="0"/>
      <w:marTop w:val="0"/>
      <w:marBottom w:val="0"/>
      <w:divBdr>
        <w:top w:val="none" w:sz="0" w:space="0" w:color="auto"/>
        <w:left w:val="none" w:sz="0" w:space="0" w:color="auto"/>
        <w:bottom w:val="none" w:sz="0" w:space="0" w:color="auto"/>
        <w:right w:val="none" w:sz="0" w:space="0" w:color="auto"/>
      </w:divBdr>
    </w:div>
    <w:div w:id="1223638964">
      <w:bodyDiv w:val="1"/>
      <w:marLeft w:val="0"/>
      <w:marRight w:val="0"/>
      <w:marTop w:val="0"/>
      <w:marBottom w:val="0"/>
      <w:divBdr>
        <w:top w:val="none" w:sz="0" w:space="0" w:color="auto"/>
        <w:left w:val="none" w:sz="0" w:space="0" w:color="auto"/>
        <w:bottom w:val="none" w:sz="0" w:space="0" w:color="auto"/>
        <w:right w:val="none" w:sz="0" w:space="0" w:color="auto"/>
      </w:divBdr>
    </w:div>
    <w:div w:id="1234466637">
      <w:bodyDiv w:val="1"/>
      <w:marLeft w:val="0"/>
      <w:marRight w:val="0"/>
      <w:marTop w:val="0"/>
      <w:marBottom w:val="0"/>
      <w:divBdr>
        <w:top w:val="none" w:sz="0" w:space="0" w:color="auto"/>
        <w:left w:val="none" w:sz="0" w:space="0" w:color="auto"/>
        <w:bottom w:val="none" w:sz="0" w:space="0" w:color="auto"/>
        <w:right w:val="none" w:sz="0" w:space="0" w:color="auto"/>
      </w:divBdr>
    </w:div>
    <w:div w:id="1315060951">
      <w:bodyDiv w:val="1"/>
      <w:marLeft w:val="0"/>
      <w:marRight w:val="0"/>
      <w:marTop w:val="0"/>
      <w:marBottom w:val="0"/>
      <w:divBdr>
        <w:top w:val="none" w:sz="0" w:space="0" w:color="auto"/>
        <w:left w:val="none" w:sz="0" w:space="0" w:color="auto"/>
        <w:bottom w:val="none" w:sz="0" w:space="0" w:color="auto"/>
        <w:right w:val="none" w:sz="0" w:space="0" w:color="auto"/>
      </w:divBdr>
    </w:div>
    <w:div w:id="1339651551">
      <w:bodyDiv w:val="1"/>
      <w:marLeft w:val="0"/>
      <w:marRight w:val="0"/>
      <w:marTop w:val="0"/>
      <w:marBottom w:val="0"/>
      <w:divBdr>
        <w:top w:val="none" w:sz="0" w:space="0" w:color="auto"/>
        <w:left w:val="none" w:sz="0" w:space="0" w:color="auto"/>
        <w:bottom w:val="none" w:sz="0" w:space="0" w:color="auto"/>
        <w:right w:val="none" w:sz="0" w:space="0" w:color="auto"/>
      </w:divBdr>
    </w:div>
    <w:div w:id="1447429107">
      <w:bodyDiv w:val="1"/>
      <w:marLeft w:val="0"/>
      <w:marRight w:val="0"/>
      <w:marTop w:val="0"/>
      <w:marBottom w:val="0"/>
      <w:divBdr>
        <w:top w:val="none" w:sz="0" w:space="0" w:color="auto"/>
        <w:left w:val="none" w:sz="0" w:space="0" w:color="auto"/>
        <w:bottom w:val="none" w:sz="0" w:space="0" w:color="auto"/>
        <w:right w:val="none" w:sz="0" w:space="0" w:color="auto"/>
      </w:divBdr>
    </w:div>
    <w:div w:id="1457068722">
      <w:bodyDiv w:val="1"/>
      <w:marLeft w:val="0"/>
      <w:marRight w:val="0"/>
      <w:marTop w:val="0"/>
      <w:marBottom w:val="0"/>
      <w:divBdr>
        <w:top w:val="none" w:sz="0" w:space="0" w:color="auto"/>
        <w:left w:val="none" w:sz="0" w:space="0" w:color="auto"/>
        <w:bottom w:val="none" w:sz="0" w:space="0" w:color="auto"/>
        <w:right w:val="none" w:sz="0" w:space="0" w:color="auto"/>
      </w:divBdr>
    </w:div>
    <w:div w:id="1647393201">
      <w:bodyDiv w:val="1"/>
      <w:marLeft w:val="0"/>
      <w:marRight w:val="0"/>
      <w:marTop w:val="0"/>
      <w:marBottom w:val="0"/>
      <w:divBdr>
        <w:top w:val="none" w:sz="0" w:space="0" w:color="auto"/>
        <w:left w:val="none" w:sz="0" w:space="0" w:color="auto"/>
        <w:bottom w:val="none" w:sz="0" w:space="0" w:color="auto"/>
        <w:right w:val="none" w:sz="0" w:space="0" w:color="auto"/>
      </w:divBdr>
    </w:div>
    <w:div w:id="1729375123">
      <w:bodyDiv w:val="1"/>
      <w:marLeft w:val="0"/>
      <w:marRight w:val="0"/>
      <w:marTop w:val="0"/>
      <w:marBottom w:val="0"/>
      <w:divBdr>
        <w:top w:val="none" w:sz="0" w:space="0" w:color="auto"/>
        <w:left w:val="none" w:sz="0" w:space="0" w:color="auto"/>
        <w:bottom w:val="none" w:sz="0" w:space="0" w:color="auto"/>
        <w:right w:val="none" w:sz="0" w:space="0" w:color="auto"/>
      </w:divBdr>
    </w:div>
    <w:div w:id="2059820208">
      <w:bodyDiv w:val="1"/>
      <w:marLeft w:val="0"/>
      <w:marRight w:val="0"/>
      <w:marTop w:val="0"/>
      <w:marBottom w:val="0"/>
      <w:divBdr>
        <w:top w:val="none" w:sz="0" w:space="0" w:color="auto"/>
        <w:left w:val="none" w:sz="0" w:space="0" w:color="auto"/>
        <w:bottom w:val="none" w:sz="0" w:space="0" w:color="auto"/>
        <w:right w:val="none" w:sz="0" w:space="0" w:color="auto"/>
      </w:divBdr>
    </w:div>
    <w:div w:id="2087335244">
      <w:bodyDiv w:val="1"/>
      <w:marLeft w:val="0"/>
      <w:marRight w:val="0"/>
      <w:marTop w:val="0"/>
      <w:marBottom w:val="0"/>
      <w:divBdr>
        <w:top w:val="none" w:sz="0" w:space="0" w:color="auto"/>
        <w:left w:val="none" w:sz="0" w:space="0" w:color="auto"/>
        <w:bottom w:val="none" w:sz="0" w:space="0" w:color="auto"/>
        <w:right w:val="none" w:sz="0" w:space="0" w:color="auto"/>
      </w:divBdr>
    </w:div>
    <w:div w:id="2100177056">
      <w:bodyDiv w:val="1"/>
      <w:marLeft w:val="0"/>
      <w:marRight w:val="0"/>
      <w:marTop w:val="0"/>
      <w:marBottom w:val="0"/>
      <w:divBdr>
        <w:top w:val="none" w:sz="0" w:space="0" w:color="auto"/>
        <w:left w:val="none" w:sz="0" w:space="0" w:color="auto"/>
        <w:bottom w:val="none" w:sz="0" w:space="0" w:color="auto"/>
        <w:right w:val="none" w:sz="0" w:space="0" w:color="auto"/>
      </w:divBdr>
    </w:div>
    <w:div w:id="210672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7141</Words>
  <Characters>40709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pvj</Company>
  <LinksUpToDate>false</LinksUpToDate>
  <CharactersWithSpaces>47755</CharactersWithSpaces>
  <SharedDoc>false</SharedDoc>
  <HLinks>
    <vt:vector size="6" baseType="variant">
      <vt:variant>
        <vt:i4>6291490</vt:i4>
      </vt:variant>
      <vt:variant>
        <vt:i4>0</vt:i4>
      </vt:variant>
      <vt:variant>
        <vt:i4>0</vt:i4>
      </vt:variant>
      <vt:variant>
        <vt:i4>5</vt:i4>
      </vt:variant>
      <vt:variant>
        <vt:lpwstr>http://www.pvj.com.pk/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zafar</dc:creator>
  <cp:keywords/>
  <dc:description/>
  <cp:lastModifiedBy>my</cp:lastModifiedBy>
  <cp:revision>4</cp:revision>
  <dcterms:created xsi:type="dcterms:W3CDTF">2025-10-01T11:12:00Z</dcterms:created>
  <dcterms:modified xsi:type="dcterms:W3CDTF">2025-10-02T16:20:00Z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27895687-93ba-4794-b009-a7617c40a5ef</vt:lpwstr>
  </property>
</Properties>
</file>